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3AE840">
      <w:pPr>
        <w:pStyle w:val="13"/>
        <w:spacing w:before="120" w:beforeAutospacing="0" w:after="120" w:afterAutospacing="0" w:line="360" w:lineRule="auto"/>
      </w:pPr>
      <w:r>
        <w:t> </w:t>
      </w:r>
    </w:p>
    <w:p w14:paraId="76B77E33">
      <w:pPr>
        <w:pStyle w:val="13"/>
        <w:spacing w:before="120" w:beforeAutospacing="0" w:after="120" w:afterAutospacing="0" w:line="360" w:lineRule="auto"/>
        <w:jc w:val="center"/>
        <w:rPr>
          <w:rFonts w:ascii="Arial" w:hAnsi="Arial" w:cs="Arial"/>
          <w:b/>
          <w:color w:val="000000"/>
          <w:sz w:val="84"/>
          <w:szCs w:val="84"/>
        </w:rPr>
      </w:pPr>
      <w:r>
        <w:rPr>
          <w:rFonts w:ascii="Arial" w:hAnsi="Arial" w:cs="Arial"/>
          <w:b/>
          <w:color w:val="000000"/>
          <w:sz w:val="84"/>
          <w:szCs w:val="84"/>
        </w:rPr>
        <w:t>招 标 文 件</w:t>
      </w:r>
    </w:p>
    <w:p w14:paraId="4B8B8151">
      <w:pPr>
        <w:pStyle w:val="13"/>
        <w:spacing w:before="120" w:beforeAutospacing="0" w:after="120" w:afterAutospacing="0" w:line="360" w:lineRule="auto"/>
        <w:jc w:val="center"/>
        <w:rPr>
          <w:rFonts w:ascii="Arial" w:hAnsi="Arial" w:cs="Arial"/>
          <w:b/>
          <w:color w:val="000000"/>
          <w:sz w:val="84"/>
          <w:szCs w:val="84"/>
        </w:rPr>
      </w:pPr>
    </w:p>
    <w:p w14:paraId="0703EDF5">
      <w:pPr>
        <w:pStyle w:val="13"/>
        <w:spacing w:before="120" w:beforeAutospacing="0" w:after="120" w:afterAutospacing="0" w:line="360" w:lineRule="auto"/>
        <w:jc w:val="center"/>
        <w:rPr>
          <w:rFonts w:ascii="Arial" w:hAnsi="Arial" w:cs="Arial"/>
          <w:b/>
          <w:color w:val="000000"/>
          <w:sz w:val="84"/>
          <w:szCs w:val="84"/>
        </w:rPr>
      </w:pPr>
    </w:p>
    <w:p w14:paraId="0BC66E6F">
      <w:pPr>
        <w:pStyle w:val="13"/>
        <w:spacing w:beforeAutospacing="0" w:afterAutospacing="0"/>
        <w:ind w:firstLine="643" w:firstLineChars="200"/>
        <w:jc w:val="center"/>
        <w:rPr>
          <w:rFonts w:hint="eastAsia" w:ascii="Arial" w:hAnsi="Arial" w:cs="Arial" w:eastAsiaTheme="minorEastAsia"/>
          <w:b/>
          <w:color w:val="000000"/>
          <w:sz w:val="32"/>
          <w:szCs w:val="32"/>
          <w:lang w:eastAsia="zh-CN"/>
        </w:rPr>
      </w:pPr>
      <w:r>
        <w:rPr>
          <w:rFonts w:ascii="Arial" w:hAnsi="Arial" w:cs="Arial"/>
          <w:b/>
          <w:color w:val="000000"/>
          <w:sz w:val="32"/>
          <w:szCs w:val="32"/>
        </w:rPr>
        <w:t>项目</w:t>
      </w:r>
      <w:r>
        <w:rPr>
          <w:rFonts w:hint="eastAsia" w:ascii="Arial" w:hAnsi="Arial" w:cs="Arial"/>
          <w:b/>
          <w:color w:val="000000"/>
          <w:sz w:val="32"/>
          <w:szCs w:val="32"/>
        </w:rPr>
        <w:t>名称：</w:t>
      </w:r>
      <w:r>
        <w:rPr>
          <w:rFonts w:hint="eastAsia" w:ascii="Arial" w:hAnsi="Arial" w:cs="Arial"/>
          <w:b/>
          <w:color w:val="000000"/>
          <w:sz w:val="32"/>
          <w:szCs w:val="32"/>
          <w:lang w:eastAsia="zh-CN"/>
        </w:rPr>
        <w:t>射阳县农业综合行政执法大队射阳县海洋渔业船员意外伤害险采购项目</w:t>
      </w:r>
    </w:p>
    <w:p w14:paraId="5AB1A49A">
      <w:pPr>
        <w:pStyle w:val="13"/>
        <w:spacing w:beforeAutospacing="0" w:afterAutospacing="0"/>
        <w:ind w:firstLine="643" w:firstLineChars="200"/>
        <w:jc w:val="both"/>
        <w:rPr>
          <w:rFonts w:hint="eastAsia" w:ascii="Arial" w:hAnsi="Arial" w:cs="Arial"/>
          <w:b/>
          <w:color w:val="000000"/>
          <w:sz w:val="32"/>
          <w:szCs w:val="32"/>
        </w:rPr>
      </w:pPr>
    </w:p>
    <w:p w14:paraId="4ABEBBB6">
      <w:pPr>
        <w:pStyle w:val="13"/>
        <w:spacing w:beforeAutospacing="0" w:afterAutospacing="0"/>
        <w:ind w:firstLine="643" w:firstLineChars="200"/>
        <w:jc w:val="both"/>
        <w:rPr>
          <w:rFonts w:hint="eastAsia" w:ascii="Arial" w:hAnsi="Arial" w:cs="Arial"/>
          <w:b/>
          <w:color w:val="000000"/>
          <w:sz w:val="32"/>
          <w:szCs w:val="32"/>
        </w:rPr>
      </w:pPr>
    </w:p>
    <w:p w14:paraId="3A4D39C6">
      <w:pPr>
        <w:pStyle w:val="13"/>
        <w:spacing w:beforeAutospacing="0" w:afterAutospacing="0"/>
        <w:ind w:firstLine="1285" w:firstLineChars="400"/>
        <w:jc w:val="both"/>
        <w:rPr>
          <w:rFonts w:hint="default" w:ascii="Arial" w:hAnsi="Arial" w:cs="Arial" w:eastAsiaTheme="minorEastAsia"/>
          <w:b/>
          <w:color w:val="000000"/>
          <w:sz w:val="32"/>
          <w:szCs w:val="32"/>
          <w:lang w:val="en-US" w:eastAsia="zh-CN"/>
        </w:rPr>
      </w:pPr>
      <w:r>
        <w:rPr>
          <w:rFonts w:hint="eastAsia" w:ascii="Arial" w:hAnsi="Arial" w:cs="Arial"/>
          <w:b/>
          <w:color w:val="000000"/>
          <w:sz w:val="32"/>
          <w:szCs w:val="32"/>
        </w:rPr>
        <w:t>项目编号：JSZC-320924-YCCD-G2025-0019</w:t>
      </w:r>
    </w:p>
    <w:p w14:paraId="642E5D99">
      <w:pPr>
        <w:pStyle w:val="13"/>
        <w:spacing w:beforeAutospacing="0" w:afterAutospacing="0" w:line="360" w:lineRule="auto"/>
      </w:pPr>
      <w:r>
        <w:t> </w:t>
      </w:r>
    </w:p>
    <w:p w14:paraId="08E73F50">
      <w:pPr>
        <w:pStyle w:val="13"/>
        <w:spacing w:beforeAutospacing="0" w:afterAutospacing="0" w:line="360" w:lineRule="auto"/>
      </w:pPr>
      <w:r>
        <w:t> </w:t>
      </w:r>
    </w:p>
    <w:p w14:paraId="08E0EA2D">
      <w:pPr>
        <w:pStyle w:val="13"/>
        <w:spacing w:beforeAutospacing="0" w:afterAutospacing="0" w:line="360" w:lineRule="auto"/>
      </w:pPr>
      <w:r>
        <w:t> </w:t>
      </w:r>
    </w:p>
    <w:p w14:paraId="00AF4CEA">
      <w:pPr>
        <w:pStyle w:val="13"/>
        <w:spacing w:beforeAutospacing="0" w:afterAutospacing="0" w:line="360" w:lineRule="auto"/>
      </w:pPr>
      <w:r>
        <w:t> </w:t>
      </w:r>
    </w:p>
    <w:p w14:paraId="1ECAE505">
      <w:pPr>
        <w:pStyle w:val="13"/>
        <w:spacing w:beforeAutospacing="0" w:afterAutospacing="0" w:line="360" w:lineRule="auto"/>
      </w:pPr>
      <w:r>
        <w:t> </w:t>
      </w:r>
    </w:p>
    <w:p w14:paraId="2EA062A1">
      <w:pPr>
        <w:pStyle w:val="13"/>
        <w:spacing w:beforeAutospacing="0" w:afterAutospacing="0" w:line="360" w:lineRule="auto"/>
      </w:pPr>
      <w:r>
        <w:t> </w:t>
      </w:r>
    </w:p>
    <w:p w14:paraId="46AFB5F8">
      <w:pPr>
        <w:pStyle w:val="13"/>
        <w:spacing w:beforeAutospacing="0" w:afterAutospacing="0" w:line="360" w:lineRule="auto"/>
      </w:pPr>
      <w:r>
        <w:t> </w:t>
      </w:r>
    </w:p>
    <w:p w14:paraId="6BAB7817">
      <w:pPr>
        <w:pStyle w:val="13"/>
        <w:spacing w:before="120" w:beforeAutospacing="0" w:after="120" w:afterAutospacing="0" w:line="360" w:lineRule="auto"/>
        <w:jc w:val="center"/>
        <w:rPr>
          <w:rFonts w:hint="eastAsia" w:ascii="Arial" w:hAnsi="Arial" w:cs="Arial" w:eastAsiaTheme="minorEastAsia"/>
          <w:b/>
          <w:color w:val="000000"/>
          <w:sz w:val="32"/>
          <w:szCs w:val="32"/>
          <w:lang w:eastAsia="zh-CN"/>
        </w:rPr>
      </w:pPr>
      <w:r>
        <w:rPr>
          <w:rFonts w:hint="eastAsia" w:ascii="Arial" w:hAnsi="Arial" w:cs="Arial"/>
          <w:b/>
          <w:color w:val="000000"/>
          <w:sz w:val="32"/>
          <w:szCs w:val="32"/>
        </w:rPr>
        <w:t>采购单位：</w:t>
      </w:r>
      <w:r>
        <w:rPr>
          <w:rFonts w:hint="eastAsia" w:ascii="Arial" w:hAnsi="Arial" w:cs="Arial"/>
          <w:b/>
          <w:color w:val="000000"/>
          <w:sz w:val="32"/>
          <w:szCs w:val="32"/>
          <w:lang w:eastAsia="zh-CN"/>
        </w:rPr>
        <w:t>射阳县农业综合行政执法大队</w:t>
      </w:r>
    </w:p>
    <w:p w14:paraId="49D67845">
      <w:pPr>
        <w:pStyle w:val="13"/>
        <w:spacing w:before="120" w:beforeAutospacing="0" w:after="120" w:afterAutospacing="0" w:line="360" w:lineRule="auto"/>
        <w:jc w:val="center"/>
      </w:pPr>
      <w:r>
        <w:rPr>
          <w:rFonts w:hint="eastAsia" w:ascii="Arial" w:hAnsi="Arial" w:cs="Arial"/>
          <w:b/>
          <w:color w:val="000000"/>
          <w:sz w:val="32"/>
          <w:szCs w:val="32"/>
        </w:rPr>
        <w:t>2025</w:t>
      </w:r>
      <w:r>
        <w:rPr>
          <w:rFonts w:ascii="Arial" w:hAnsi="Arial" w:cs="Arial"/>
          <w:b/>
          <w:color w:val="000000"/>
          <w:sz w:val="32"/>
          <w:szCs w:val="32"/>
        </w:rPr>
        <w:t>年</w:t>
      </w:r>
      <w:r>
        <w:rPr>
          <w:rFonts w:hint="eastAsia" w:ascii="Arial" w:hAnsi="Arial" w:cs="Arial"/>
          <w:b/>
          <w:color w:val="000000"/>
          <w:sz w:val="32"/>
          <w:szCs w:val="32"/>
          <w:lang w:val="en-US" w:eastAsia="zh-CN"/>
        </w:rPr>
        <w:t>11</w:t>
      </w:r>
      <w:r>
        <w:rPr>
          <w:rFonts w:ascii="Arial" w:hAnsi="Arial" w:cs="Arial"/>
          <w:b/>
          <w:color w:val="000000"/>
          <w:sz w:val="32"/>
          <w:szCs w:val="32"/>
        </w:rPr>
        <w:t>月</w:t>
      </w:r>
    </w:p>
    <w:p w14:paraId="5E095AD5">
      <w:pPr>
        <w:pStyle w:val="13"/>
        <w:spacing w:before="120" w:beforeAutospacing="0" w:after="120" w:afterAutospacing="0" w:line="360" w:lineRule="auto"/>
      </w:pPr>
      <w:r>
        <w:rPr>
          <w:rFonts w:ascii="Arial" w:hAnsi="Arial" w:cs="Arial"/>
          <w:color w:val="000000"/>
        </w:rPr>
        <w:t xml:space="preserve">                        </w:t>
      </w:r>
    </w:p>
    <w:p w14:paraId="3E74CC6A">
      <w:pPr>
        <w:pStyle w:val="13"/>
        <w:spacing w:before="120" w:beforeAutospacing="0" w:after="120" w:afterAutospacing="0" w:line="360" w:lineRule="auto"/>
        <w:jc w:val="center"/>
      </w:pPr>
      <w:r>
        <w:t> </w:t>
      </w:r>
    </w:p>
    <w:p w14:paraId="335F527E">
      <w:pPr>
        <w:pStyle w:val="13"/>
        <w:spacing w:beforeAutospacing="0" w:afterAutospacing="0" w:line="480" w:lineRule="auto"/>
        <w:jc w:val="center"/>
      </w:pPr>
      <w:r>
        <w:rPr>
          <w:rFonts w:ascii="Times New Roman" w:hAnsi="Times New Roman"/>
          <w:color w:val="000000"/>
          <w:sz w:val="21"/>
          <w:szCs w:val="21"/>
        </w:rPr>
        <w:br w:type="page"/>
      </w:r>
      <w:r>
        <w:rPr>
          <w:rFonts w:ascii="Times New Roman" w:hAnsi="Times New Roman"/>
          <w:color w:val="000000"/>
          <w:sz w:val="21"/>
          <w:szCs w:val="21"/>
        </w:rPr>
        <w:t> </w:t>
      </w:r>
      <w:bookmarkStart w:id="0" w:name="_Toc20823272"/>
      <w:bookmarkStart w:id="1" w:name="_Toc479757206"/>
      <w:bookmarkStart w:id="2" w:name="_Toc16938516"/>
      <w:bookmarkStart w:id="3" w:name="_Toc523127445"/>
      <w:bookmarkStart w:id="4" w:name="_Toc513029200"/>
      <w:bookmarkStart w:id="5" w:name="_Toc120614210"/>
      <w:r>
        <w:rPr>
          <w:rFonts w:ascii="Times New Roman" w:hAnsi="Times New Roman"/>
          <w:color w:val="000000"/>
          <w:sz w:val="21"/>
          <w:szCs w:val="21"/>
        </w:rPr>
        <w:t> </w:t>
      </w:r>
      <w:r>
        <w:rPr>
          <w:rFonts w:ascii="黑体" w:hAnsi="宋体" w:eastAsia="黑体" w:cs="黑体"/>
          <w:b/>
          <w:color w:val="000000"/>
          <w:sz w:val="44"/>
          <w:szCs w:val="44"/>
        </w:rPr>
        <w:t>总  目  录</w:t>
      </w:r>
      <w:bookmarkEnd w:id="0"/>
      <w:bookmarkEnd w:id="1"/>
      <w:bookmarkEnd w:id="2"/>
      <w:bookmarkEnd w:id="3"/>
      <w:bookmarkEnd w:id="4"/>
      <w:bookmarkEnd w:id="5"/>
    </w:p>
    <w:p w14:paraId="45A22FF3">
      <w:pPr>
        <w:pStyle w:val="13"/>
        <w:spacing w:beforeAutospacing="0" w:afterAutospacing="0" w:line="480" w:lineRule="auto"/>
        <w:jc w:val="both"/>
      </w:pPr>
      <w:r>
        <w:t> </w:t>
      </w:r>
    </w:p>
    <w:p w14:paraId="5064FE47">
      <w:pPr>
        <w:pStyle w:val="13"/>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 xml:space="preserve">招标公告…………………………………… </w:t>
      </w:r>
    </w:p>
    <w:p w14:paraId="4D0B6416">
      <w:pPr>
        <w:pStyle w:val="13"/>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 xml:space="preserve">投标人须知…………………………………  </w:t>
      </w:r>
    </w:p>
    <w:p w14:paraId="1B4EF6A4">
      <w:pPr>
        <w:pStyle w:val="13"/>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合同文本……………………………………</w:t>
      </w:r>
    </w:p>
    <w:p w14:paraId="15FE04F6">
      <w:pPr>
        <w:pStyle w:val="13"/>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采购需求……………………………………</w:t>
      </w:r>
    </w:p>
    <w:p w14:paraId="0F29A0BF">
      <w:pPr>
        <w:pStyle w:val="13"/>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评标方法与评标标准………………………</w:t>
      </w:r>
    </w:p>
    <w:p w14:paraId="65390A7E">
      <w:pPr>
        <w:pStyle w:val="13"/>
        <w:tabs>
          <w:tab w:val="left" w:pos="1441"/>
        </w:tabs>
        <w:spacing w:beforeAutospacing="0" w:afterAutospacing="0" w:line="480" w:lineRule="auto"/>
        <w:ind w:left="2160" w:hanging="1440"/>
        <w:jc w:val="both"/>
      </w:pPr>
      <w:r>
        <w:rPr>
          <w:rFonts w:hint="eastAsia" w:ascii="黑体" w:hAnsi="宋体" w:eastAsia="黑体" w:cs="黑体"/>
          <w:color w:val="000000"/>
          <w:sz w:val="36"/>
          <w:szCs w:val="36"/>
        </w:rPr>
        <w:t>投标文件格式………………………………</w:t>
      </w:r>
    </w:p>
    <w:p w14:paraId="577298B1">
      <w:pPr>
        <w:pStyle w:val="13"/>
        <w:spacing w:beforeAutospacing="0" w:afterAutospacing="0"/>
        <w:jc w:val="both"/>
      </w:pPr>
      <w:r>
        <w:t> </w:t>
      </w:r>
    </w:p>
    <w:p w14:paraId="109AD573">
      <w:pPr>
        <w:pStyle w:val="13"/>
        <w:spacing w:beforeAutospacing="0" w:afterAutospacing="0"/>
        <w:jc w:val="both"/>
      </w:pPr>
      <w:r>
        <w:t> </w:t>
      </w:r>
    </w:p>
    <w:p w14:paraId="55A977DC">
      <w:pPr>
        <w:pStyle w:val="13"/>
        <w:spacing w:beforeAutospacing="0" w:afterAutospacing="0"/>
        <w:jc w:val="both"/>
      </w:pPr>
      <w:r>
        <w:t> </w:t>
      </w:r>
    </w:p>
    <w:p w14:paraId="516ABA9C">
      <w:pPr>
        <w:pStyle w:val="13"/>
        <w:spacing w:beforeAutospacing="0" w:afterAutospacing="0"/>
        <w:jc w:val="both"/>
      </w:pPr>
      <w:r>
        <w:t> </w:t>
      </w:r>
    </w:p>
    <w:p w14:paraId="649124A9">
      <w:pPr>
        <w:pStyle w:val="13"/>
        <w:spacing w:beforeAutospacing="0" w:afterAutospacing="0"/>
        <w:jc w:val="both"/>
      </w:pPr>
      <w:r>
        <w:t> </w:t>
      </w:r>
    </w:p>
    <w:p w14:paraId="69B9671E">
      <w:pPr>
        <w:pStyle w:val="13"/>
        <w:spacing w:beforeAutospacing="0" w:afterAutospacing="0"/>
        <w:jc w:val="both"/>
      </w:pPr>
      <w:r>
        <w:t> </w:t>
      </w:r>
    </w:p>
    <w:p w14:paraId="5F0852C9">
      <w:pPr>
        <w:pStyle w:val="13"/>
        <w:spacing w:beforeAutospacing="0" w:afterAutospacing="0"/>
        <w:jc w:val="both"/>
      </w:pPr>
      <w:r>
        <w:t> </w:t>
      </w:r>
    </w:p>
    <w:p w14:paraId="4D772BF8">
      <w:pPr>
        <w:pStyle w:val="13"/>
        <w:spacing w:beforeAutospacing="0" w:afterAutospacing="0"/>
        <w:jc w:val="both"/>
      </w:pPr>
      <w:r>
        <w:t> </w:t>
      </w:r>
    </w:p>
    <w:p w14:paraId="23C6DF92">
      <w:pPr>
        <w:pStyle w:val="13"/>
        <w:spacing w:beforeAutospacing="0" w:afterAutospacing="0"/>
        <w:jc w:val="both"/>
      </w:pPr>
      <w:r>
        <w:t> </w:t>
      </w:r>
    </w:p>
    <w:p w14:paraId="0B04FB2D">
      <w:pPr>
        <w:pStyle w:val="13"/>
        <w:spacing w:beforeAutospacing="0" w:afterAutospacing="0"/>
        <w:jc w:val="both"/>
      </w:pPr>
      <w:r>
        <w:t> </w:t>
      </w:r>
    </w:p>
    <w:p w14:paraId="177FC289">
      <w:pPr>
        <w:pStyle w:val="13"/>
        <w:spacing w:beforeAutospacing="0" w:afterAutospacing="0"/>
        <w:jc w:val="both"/>
      </w:pPr>
      <w:r>
        <w:t> </w:t>
      </w:r>
    </w:p>
    <w:p w14:paraId="2D2C73F1">
      <w:pPr>
        <w:pStyle w:val="13"/>
        <w:spacing w:beforeAutospacing="0" w:afterAutospacing="0"/>
        <w:jc w:val="both"/>
      </w:pPr>
      <w:r>
        <w:t> </w:t>
      </w:r>
    </w:p>
    <w:p w14:paraId="55334FC2">
      <w:pPr>
        <w:pStyle w:val="13"/>
        <w:spacing w:beforeAutospacing="0" w:afterAutospacing="0"/>
        <w:jc w:val="both"/>
      </w:pPr>
      <w:r>
        <w:t> </w:t>
      </w:r>
    </w:p>
    <w:p w14:paraId="5B9518D5">
      <w:pPr>
        <w:pStyle w:val="13"/>
        <w:spacing w:beforeAutospacing="0" w:afterAutospacing="0"/>
        <w:jc w:val="both"/>
      </w:pPr>
      <w:r>
        <w:t> </w:t>
      </w:r>
    </w:p>
    <w:p w14:paraId="53C093D3">
      <w:pPr>
        <w:pStyle w:val="13"/>
        <w:spacing w:beforeAutospacing="0" w:afterAutospacing="0"/>
        <w:jc w:val="both"/>
      </w:pPr>
      <w:r>
        <w:t> </w:t>
      </w:r>
    </w:p>
    <w:p w14:paraId="2E0A7731">
      <w:pPr>
        <w:pStyle w:val="13"/>
        <w:spacing w:beforeAutospacing="0" w:afterAutospacing="0"/>
        <w:jc w:val="both"/>
      </w:pPr>
      <w:r>
        <w:t> </w:t>
      </w:r>
    </w:p>
    <w:p w14:paraId="63D66318">
      <w:pPr>
        <w:pStyle w:val="13"/>
        <w:spacing w:beforeAutospacing="0" w:afterAutospacing="0"/>
        <w:jc w:val="both"/>
      </w:pPr>
      <w:r>
        <w:t> </w:t>
      </w:r>
    </w:p>
    <w:p w14:paraId="5A635008">
      <w:pPr>
        <w:pStyle w:val="13"/>
        <w:spacing w:beforeAutospacing="0" w:afterAutospacing="0"/>
        <w:jc w:val="both"/>
      </w:pPr>
      <w:r>
        <w:t> </w:t>
      </w:r>
    </w:p>
    <w:p w14:paraId="15B8EF6F">
      <w:pPr>
        <w:pStyle w:val="13"/>
        <w:spacing w:beforeAutospacing="0" w:afterAutospacing="0"/>
        <w:jc w:val="both"/>
      </w:pPr>
      <w:r>
        <w:t> </w:t>
      </w:r>
    </w:p>
    <w:p w14:paraId="735EACAF">
      <w:pPr>
        <w:pStyle w:val="13"/>
        <w:spacing w:beforeAutospacing="0" w:afterAutospacing="0"/>
        <w:jc w:val="both"/>
      </w:pPr>
      <w:r>
        <w:t> </w:t>
      </w:r>
    </w:p>
    <w:p w14:paraId="7C691754">
      <w:pPr>
        <w:pStyle w:val="13"/>
        <w:spacing w:beforeAutospacing="0" w:afterAutospacing="0"/>
        <w:jc w:val="both"/>
      </w:pPr>
      <w:r>
        <w:t> </w:t>
      </w:r>
    </w:p>
    <w:p w14:paraId="7FD1D78D">
      <w:pPr>
        <w:pStyle w:val="13"/>
        <w:spacing w:beforeAutospacing="0" w:afterAutospacing="0"/>
        <w:jc w:val="both"/>
      </w:pPr>
      <w:r>
        <w:t> </w:t>
      </w:r>
    </w:p>
    <w:p w14:paraId="1CC13D96">
      <w:pPr>
        <w:pStyle w:val="13"/>
        <w:spacing w:beforeAutospacing="0" w:afterAutospacing="0"/>
        <w:jc w:val="both"/>
      </w:pPr>
      <w:r>
        <w:t> </w:t>
      </w:r>
    </w:p>
    <w:p w14:paraId="62F3BDB6">
      <w:pPr>
        <w:pStyle w:val="13"/>
        <w:spacing w:beforeAutospacing="0" w:afterAutospacing="0"/>
        <w:jc w:val="both"/>
      </w:pPr>
      <w:r>
        <w:t> </w:t>
      </w:r>
    </w:p>
    <w:p w14:paraId="652CB041">
      <w:pPr>
        <w:pStyle w:val="13"/>
        <w:spacing w:beforeAutospacing="0" w:afterAutospacing="0"/>
        <w:jc w:val="both"/>
      </w:pPr>
      <w:r>
        <w:t> </w:t>
      </w:r>
    </w:p>
    <w:p w14:paraId="5269D8A2">
      <w:pPr>
        <w:pStyle w:val="13"/>
        <w:spacing w:beforeAutospacing="0" w:afterAutospacing="0"/>
        <w:jc w:val="both"/>
      </w:pPr>
      <w:r>
        <w:t> </w:t>
      </w:r>
    </w:p>
    <w:p w14:paraId="1936EB44">
      <w:pPr>
        <w:pStyle w:val="13"/>
        <w:spacing w:beforeAutospacing="0" w:afterAutospacing="0"/>
        <w:jc w:val="both"/>
      </w:pPr>
      <w:r>
        <w:t> </w:t>
      </w:r>
    </w:p>
    <w:p w14:paraId="711CF5C4">
      <w:pPr>
        <w:pStyle w:val="13"/>
        <w:spacing w:beforeAutospacing="0" w:afterAutospacing="0"/>
        <w:jc w:val="both"/>
      </w:pPr>
      <w:r>
        <w:t> </w:t>
      </w:r>
    </w:p>
    <w:p w14:paraId="1990E391">
      <w:pPr>
        <w:pStyle w:val="13"/>
        <w:spacing w:beforeAutospacing="0" w:afterAutospacing="0"/>
        <w:jc w:val="both"/>
        <w:rPr>
          <w:rFonts w:eastAsia="黑体"/>
        </w:rPr>
      </w:pPr>
      <w:r>
        <w:t> </w:t>
      </w:r>
      <w:r>
        <w:rPr>
          <w:rFonts w:hint="eastAsia"/>
          <w:lang w:val="en-US" w:eastAsia="zh-CN"/>
        </w:rPr>
        <w:t xml:space="preserve">                 </w:t>
      </w:r>
      <w:r>
        <w:rPr>
          <w:rFonts w:hint="eastAsia" w:ascii="黑体" w:hAnsi="宋体" w:eastAsia="黑体" w:cs="黑体"/>
          <w:color w:val="000000"/>
          <w:sz w:val="44"/>
          <w:szCs w:val="44"/>
        </w:rPr>
        <w:t>第一章 招标公告</w:t>
      </w:r>
    </w:p>
    <w:p w14:paraId="69EB8138">
      <w:pPr>
        <w:pStyle w:val="13"/>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asciiTheme="minorEastAsia" w:hAnsiTheme="minorEastAsia" w:cstheme="minorEastAsia"/>
        </w:rPr>
      </w:pPr>
      <w:r>
        <w:rPr>
          <w:rFonts w:hint="eastAsia" w:asciiTheme="minorEastAsia" w:hAnsiTheme="minorEastAsia" w:cstheme="minorEastAsia"/>
          <w:color w:val="000000"/>
        </w:rPr>
        <w:t>项目概况</w:t>
      </w:r>
    </w:p>
    <w:p w14:paraId="26D5C30A">
      <w:pPr>
        <w:pStyle w:val="13"/>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asciiTheme="minorEastAsia" w:hAnsiTheme="minorEastAsia" w:cstheme="minorEastAsia"/>
        </w:rPr>
      </w:pPr>
      <w:r>
        <w:rPr>
          <w:rFonts w:hint="eastAsia" w:asciiTheme="minorEastAsia" w:hAnsiTheme="minorEastAsia" w:cstheme="minorEastAsia"/>
          <w:color w:val="000000"/>
          <w:u w:val="single"/>
          <w:lang w:eastAsia="zh-CN"/>
        </w:rPr>
        <w:t>射阳县农业综合行政执法大队射阳县海洋渔业船员意外伤害险采购项目</w:t>
      </w:r>
      <w:r>
        <w:rPr>
          <w:rFonts w:hint="eastAsia" w:ascii="宋体" w:hAnsi="宋体" w:eastAsia="宋体" w:cs="宋体"/>
          <w:color w:val="000000"/>
          <w:sz w:val="24"/>
          <w:szCs w:val="24"/>
          <w:lang w:eastAsia="zh-CN"/>
        </w:rPr>
        <w:t>的潜在供应商</w:t>
      </w:r>
      <w:r>
        <w:rPr>
          <w:rFonts w:hint="eastAsia" w:ascii="宋体" w:hAnsi="宋体" w:eastAsia="宋体" w:cs="宋体"/>
          <w:color w:val="000000"/>
          <w:sz w:val="24"/>
          <w:szCs w:val="24"/>
          <w:lang w:val="en-US" w:eastAsia="zh-CN"/>
        </w:rPr>
        <w:t>应</w:t>
      </w:r>
      <w:r>
        <w:rPr>
          <w:rFonts w:hint="eastAsia" w:ascii="宋体" w:hAnsi="宋体" w:eastAsia="宋体" w:cs="宋体"/>
          <w:color w:val="000000"/>
          <w:sz w:val="24"/>
          <w:szCs w:val="24"/>
          <w:lang w:eastAsia="zh-CN"/>
        </w:rPr>
        <w:t>在</w:t>
      </w:r>
      <w:r>
        <w:rPr>
          <w:rFonts w:hint="eastAsia" w:ascii="宋体" w:hAnsi="宋体" w:eastAsia="宋体" w:cs="宋体"/>
          <w:color w:val="000000"/>
          <w:sz w:val="24"/>
          <w:szCs w:val="24"/>
          <w:u w:val="single"/>
          <w:lang w:eastAsia="zh-CN"/>
        </w:rPr>
        <w:t>“苏采云”系统内免费下载（投标人必须在苏采云系统中获取</w:t>
      </w:r>
      <w:r>
        <w:rPr>
          <w:rFonts w:hint="eastAsia" w:ascii="宋体" w:hAnsi="宋体" w:eastAsia="宋体" w:cs="宋体"/>
          <w:color w:val="000000"/>
          <w:sz w:val="24"/>
          <w:szCs w:val="24"/>
          <w:u w:val="single"/>
          <w:lang w:val="en-US" w:eastAsia="zh-CN"/>
        </w:rPr>
        <w:t>招标</w:t>
      </w:r>
      <w:r>
        <w:rPr>
          <w:rFonts w:hint="eastAsia" w:ascii="宋体" w:hAnsi="宋体" w:eastAsia="宋体" w:cs="宋体"/>
          <w:color w:val="000000"/>
          <w:sz w:val="24"/>
          <w:szCs w:val="24"/>
          <w:u w:val="single"/>
          <w:lang w:eastAsia="zh-CN"/>
        </w:rPr>
        <w:t>文件，方能参与政府采购项目）</w:t>
      </w:r>
      <w:r>
        <w:rPr>
          <w:rFonts w:hint="eastAsia" w:ascii="宋体" w:hAnsi="宋体" w:eastAsia="宋体" w:cs="宋体"/>
          <w:color w:val="000000"/>
          <w:sz w:val="24"/>
          <w:szCs w:val="24"/>
          <w:lang w:eastAsia="zh-CN"/>
        </w:rPr>
        <w:t>获取</w:t>
      </w:r>
      <w:r>
        <w:rPr>
          <w:rFonts w:hint="eastAsia" w:ascii="宋体" w:hAnsi="宋体" w:eastAsia="宋体" w:cs="宋体"/>
          <w:color w:val="000000"/>
          <w:sz w:val="24"/>
          <w:szCs w:val="24"/>
          <w:lang w:val="en-US" w:eastAsia="zh-CN"/>
        </w:rPr>
        <w:t>询价</w:t>
      </w:r>
      <w:r>
        <w:rPr>
          <w:rFonts w:hint="eastAsia" w:ascii="宋体" w:hAnsi="宋体" w:eastAsia="宋体" w:cs="宋体"/>
          <w:color w:val="000000"/>
          <w:sz w:val="24"/>
          <w:szCs w:val="24"/>
          <w:lang w:eastAsia="zh-CN"/>
        </w:rPr>
        <w:t>文件，并于</w:t>
      </w:r>
      <w:r>
        <w:rPr>
          <w:rFonts w:hint="eastAsia" w:ascii="宋体" w:hAnsi="宋体" w:eastAsia="宋体" w:cs="宋体"/>
          <w:color w:val="000000"/>
          <w:sz w:val="24"/>
          <w:szCs w:val="24"/>
          <w:u w:val="single"/>
          <w:lang w:eastAsia="zh-CN"/>
        </w:rPr>
        <w:t>2025年</w:t>
      </w:r>
      <w:r>
        <w:rPr>
          <w:rFonts w:hint="eastAsia" w:ascii="宋体" w:hAnsi="宋体" w:eastAsia="宋体" w:cs="宋体"/>
          <w:color w:val="000000"/>
          <w:sz w:val="24"/>
          <w:szCs w:val="24"/>
          <w:u w:val="single"/>
          <w:lang w:val="en-US" w:eastAsia="zh-CN"/>
        </w:rPr>
        <w:t>11</w:t>
      </w:r>
      <w:r>
        <w:rPr>
          <w:rFonts w:hint="eastAsia" w:ascii="宋体" w:hAnsi="宋体" w:eastAsia="宋体" w:cs="宋体"/>
          <w:color w:val="000000"/>
          <w:sz w:val="24"/>
          <w:szCs w:val="24"/>
          <w:u w:val="single"/>
          <w:lang w:eastAsia="zh-CN"/>
        </w:rPr>
        <w:t>月</w:t>
      </w:r>
      <w:r>
        <w:rPr>
          <w:rFonts w:hint="eastAsia" w:ascii="宋体" w:hAnsi="宋体" w:eastAsia="宋体" w:cs="宋体"/>
          <w:color w:val="000000"/>
          <w:sz w:val="24"/>
          <w:szCs w:val="24"/>
          <w:u w:val="single"/>
          <w:lang w:val="en-US" w:eastAsia="zh-CN"/>
        </w:rPr>
        <w:t>19</w:t>
      </w:r>
      <w:r>
        <w:rPr>
          <w:rFonts w:hint="eastAsia" w:ascii="宋体" w:hAnsi="宋体" w:eastAsia="宋体" w:cs="宋体"/>
          <w:color w:val="000000"/>
          <w:sz w:val="24"/>
          <w:szCs w:val="24"/>
          <w:u w:val="single"/>
          <w:lang w:eastAsia="zh-CN"/>
        </w:rPr>
        <w:t>日</w:t>
      </w:r>
      <w:r>
        <w:rPr>
          <w:rFonts w:hint="eastAsia" w:ascii="宋体" w:hAnsi="宋体" w:eastAsia="宋体" w:cs="宋体"/>
          <w:color w:val="000000"/>
          <w:sz w:val="24"/>
          <w:szCs w:val="24"/>
          <w:u w:val="single"/>
          <w:lang w:val="en-US" w:eastAsia="zh-CN"/>
        </w:rPr>
        <w:t>9</w:t>
      </w:r>
      <w:r>
        <w:rPr>
          <w:rFonts w:hint="eastAsia" w:ascii="宋体" w:hAnsi="宋体" w:eastAsia="宋体" w:cs="宋体"/>
          <w:color w:val="000000"/>
          <w:sz w:val="24"/>
          <w:szCs w:val="24"/>
          <w:u w:val="single"/>
          <w:lang w:eastAsia="zh-CN"/>
        </w:rPr>
        <w:t>点00分（北京时间）</w:t>
      </w:r>
      <w:r>
        <w:rPr>
          <w:rFonts w:hint="eastAsia" w:ascii="宋体" w:hAnsi="宋体" w:eastAsia="宋体" w:cs="宋体"/>
          <w:color w:val="000000"/>
          <w:sz w:val="24"/>
          <w:szCs w:val="24"/>
          <w:lang w:eastAsia="zh-CN"/>
        </w:rPr>
        <w:t>前递交</w:t>
      </w:r>
      <w:r>
        <w:rPr>
          <w:rFonts w:hint="eastAsia" w:ascii="宋体" w:hAnsi="宋体" w:eastAsia="宋体" w:cs="宋体"/>
          <w:color w:val="000000"/>
          <w:sz w:val="24"/>
          <w:szCs w:val="24"/>
          <w:lang w:val="en-US" w:eastAsia="zh-CN"/>
        </w:rPr>
        <w:t>响应</w:t>
      </w:r>
      <w:r>
        <w:rPr>
          <w:rFonts w:hint="eastAsia" w:ascii="宋体" w:hAnsi="宋体" w:eastAsia="宋体" w:cs="宋体"/>
          <w:color w:val="000000"/>
          <w:sz w:val="24"/>
          <w:szCs w:val="24"/>
          <w:lang w:eastAsia="zh-CN"/>
        </w:rPr>
        <w:t>文件。</w:t>
      </w:r>
    </w:p>
    <w:p w14:paraId="0FB77BCC">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6" w:name="_Toc35393790"/>
      <w:bookmarkStart w:id="7" w:name="_Toc38985263"/>
      <w:bookmarkStart w:id="8" w:name="_Toc28359002"/>
      <w:bookmarkStart w:id="9" w:name="_Toc28359079"/>
      <w:bookmarkStart w:id="10" w:name="_Toc35393621"/>
      <w:bookmarkStart w:id="11" w:name="_Hlk24379207"/>
      <w:r>
        <w:rPr>
          <w:rFonts w:hint="eastAsia" w:asciiTheme="minorEastAsia" w:hAnsiTheme="minorEastAsia" w:cstheme="minorEastAsia"/>
          <w:b/>
          <w:bCs/>
          <w:color w:val="333333"/>
          <w:shd w:val="clear" w:color="auto" w:fill="FFFFFF"/>
        </w:rPr>
        <w:t>一、项目基本情况</w:t>
      </w:r>
      <w:bookmarkEnd w:id="6"/>
      <w:bookmarkEnd w:id="7"/>
      <w:bookmarkEnd w:id="8"/>
      <w:bookmarkEnd w:id="9"/>
      <w:bookmarkEnd w:id="10"/>
      <w:bookmarkEnd w:id="11"/>
    </w:p>
    <w:p w14:paraId="6BC29426">
      <w:pPr>
        <w:pStyle w:val="13"/>
        <w:spacing w:beforeAutospacing="0" w:afterAutospacing="0" w:line="360" w:lineRule="auto"/>
        <w:ind w:firstLine="480"/>
        <w:jc w:val="both"/>
        <w:rPr>
          <w:rFonts w:hint="default"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rPr>
        <w:t>1.项目编</w:t>
      </w:r>
      <w:r>
        <w:rPr>
          <w:rFonts w:hint="eastAsia" w:asciiTheme="minorEastAsia" w:hAnsiTheme="minorEastAsia" w:cstheme="minorEastAsia"/>
          <w:color w:val="333333"/>
          <w:shd w:val="clear" w:color="auto" w:fill="FFFFFF"/>
          <w:lang w:eastAsia="zh-CN"/>
        </w:rPr>
        <w:t>号：JSZC-320924-YCCD-G2025-0019</w:t>
      </w:r>
    </w:p>
    <w:p w14:paraId="240BE15B">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eastAsia="zh-CN"/>
        </w:rPr>
      </w:pPr>
      <w:r>
        <w:rPr>
          <w:rFonts w:hint="eastAsia" w:asciiTheme="minorEastAsia" w:hAnsiTheme="minorEastAsia" w:cstheme="minorEastAsia"/>
          <w:color w:val="333333"/>
          <w:shd w:val="clear" w:color="auto" w:fill="FFFFFF"/>
          <w:lang w:eastAsia="zh-CN"/>
        </w:rPr>
        <w:t>2.项目名称：射阳县农业综合行政执法大队射阳县海洋渔业船员意外伤害险采购项目</w:t>
      </w:r>
    </w:p>
    <w:p w14:paraId="266A6EB9">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3.采购方式：公开招标</w:t>
      </w:r>
    </w:p>
    <w:p w14:paraId="0867104B">
      <w:pPr>
        <w:pStyle w:val="13"/>
        <w:spacing w:beforeAutospacing="0" w:afterAutospacing="0" w:line="360" w:lineRule="auto"/>
        <w:ind w:firstLine="480"/>
        <w:jc w:val="both"/>
        <w:rPr>
          <w:rFonts w:hint="default"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4</w:t>
      </w:r>
      <w:r>
        <w:rPr>
          <w:rFonts w:hint="eastAsia" w:asciiTheme="minorEastAsia" w:hAnsiTheme="minorEastAsia" w:cstheme="minorEastAsia"/>
          <w:color w:val="333333"/>
          <w:shd w:val="clear" w:color="auto" w:fill="FFFFFF"/>
          <w:lang w:val="en-US" w:eastAsia="zh-CN"/>
        </w:rPr>
        <w:t>.预算金额：</w:t>
      </w:r>
      <w:r>
        <w:rPr>
          <w:rFonts w:hint="eastAsia" w:asciiTheme="minorEastAsia" w:hAnsiTheme="minorEastAsia" w:cstheme="minorEastAsia"/>
          <w:color w:val="333333"/>
          <w:shd w:val="clear" w:color="auto" w:fill="FFFFFF"/>
          <w:lang w:val="en-US" w:eastAsia="zh-CN"/>
        </w:rPr>
        <w:t>544万元（其中：财政补贴资金：163.2万元）</w:t>
      </w:r>
    </w:p>
    <w:p w14:paraId="1B15AC4A">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5.最高限价（单价）：2175元/人。备注：投标单价不得超过最高单价限价，否则按无效投标人处理。</w:t>
      </w:r>
    </w:p>
    <w:p w14:paraId="039FAAA5">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eastAsia="zh-CN"/>
        </w:rPr>
        <w:t>6.采购需求：射阳县农业综合行政</w:t>
      </w:r>
      <w:r>
        <w:rPr>
          <w:rFonts w:hint="eastAsia" w:asciiTheme="minorEastAsia" w:hAnsiTheme="minorEastAsia" w:cstheme="minorEastAsia"/>
          <w:color w:val="333333"/>
          <w:shd w:val="clear" w:color="auto" w:fill="FFFFFF"/>
          <w:lang w:val="en-US" w:eastAsia="zh-CN"/>
        </w:rPr>
        <w:t>执法大队对我县在“中国渔政指挥管理系统”登记在册的海洋渔船船东，购买射阳县海洋渔业船员意外伤害险项目进行公开招标采购。船员商业意外伤害险保险补贴：</w:t>
      </w:r>
      <w:r>
        <w:rPr>
          <w:rFonts w:hint="default" w:asciiTheme="minorEastAsia" w:hAnsiTheme="minorEastAsia" w:cstheme="minorEastAsia"/>
          <w:color w:val="333333"/>
          <w:shd w:val="clear" w:color="auto" w:fill="FFFFFF"/>
          <w:lang w:val="en-US" w:eastAsia="zh-CN"/>
        </w:rPr>
        <w:t>在省渔业互助保险基础上，船东为船员</w:t>
      </w:r>
      <w:r>
        <w:rPr>
          <w:rFonts w:hint="eastAsia" w:asciiTheme="minorEastAsia" w:hAnsiTheme="minorEastAsia" w:cstheme="minorEastAsia"/>
          <w:color w:val="333333"/>
          <w:shd w:val="clear" w:color="auto" w:fill="FFFFFF"/>
          <w:lang w:val="en-US" w:eastAsia="zh-CN"/>
        </w:rPr>
        <w:t>再次</w:t>
      </w:r>
      <w:r>
        <w:rPr>
          <w:rFonts w:hint="default" w:asciiTheme="minorEastAsia" w:hAnsiTheme="minorEastAsia" w:cstheme="minorEastAsia"/>
          <w:color w:val="333333"/>
          <w:shd w:val="clear" w:color="auto" w:fill="FFFFFF"/>
          <w:lang w:val="en-US" w:eastAsia="zh-CN"/>
        </w:rPr>
        <w:t>购买商业意外伤害险</w:t>
      </w:r>
      <w:r>
        <w:rPr>
          <w:rFonts w:hint="eastAsia" w:asciiTheme="minorEastAsia" w:hAnsiTheme="minorEastAsia" w:cstheme="minorEastAsia"/>
          <w:color w:val="333333"/>
          <w:shd w:val="clear" w:color="auto" w:fill="FFFFFF"/>
          <w:lang w:val="en-US" w:eastAsia="zh-CN"/>
        </w:rPr>
        <w:t>60万元/人，保费按：2175元/人计算（本项目最高限价），需要投保的出海船员约为2500人，保单总金额约为544万元。县财政为所投保的出海船员，按每人保费的30%进行补贴，补贴资金为163.2万元。具体采购需求详细内容见本招标文件第四章。</w:t>
      </w:r>
    </w:p>
    <w:p w14:paraId="49F3FCC5">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eastAsia="zh-CN"/>
        </w:rPr>
      </w:pPr>
      <w:r>
        <w:rPr>
          <w:rFonts w:hint="eastAsia" w:asciiTheme="minorEastAsia" w:hAnsiTheme="minorEastAsia" w:cstheme="minorEastAsia"/>
          <w:color w:val="333333"/>
          <w:shd w:val="clear" w:color="auto" w:fill="FFFFFF"/>
          <w:lang w:eastAsia="zh-CN"/>
        </w:rPr>
        <w:t>7.合同履行期限：中标单位与采购方签订合同后，</w:t>
      </w:r>
      <w:r>
        <w:rPr>
          <w:rFonts w:hint="eastAsia" w:asciiTheme="minorEastAsia" w:hAnsiTheme="minorEastAsia" w:cstheme="minorEastAsia"/>
          <w:color w:val="333333"/>
          <w:shd w:val="clear" w:color="auto" w:fill="FFFFFF"/>
          <w:lang w:val="en-US" w:eastAsia="zh-CN"/>
        </w:rPr>
        <w:t>履约期限为</w:t>
      </w:r>
      <w:r>
        <w:rPr>
          <w:rFonts w:hint="eastAsia" w:asciiTheme="minorEastAsia" w:hAnsiTheme="minorEastAsia" w:cstheme="minorEastAsia"/>
          <w:color w:val="333333"/>
          <w:shd w:val="clear" w:color="auto" w:fill="FFFFFF"/>
          <w:lang w:eastAsia="zh-CN"/>
        </w:rPr>
        <w:t>一年。</w:t>
      </w:r>
    </w:p>
    <w:p w14:paraId="4678BD90">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eastAsia="zh-CN"/>
        </w:rPr>
      </w:pPr>
      <w:r>
        <w:rPr>
          <w:rFonts w:hint="eastAsia" w:asciiTheme="minorEastAsia" w:hAnsiTheme="minorEastAsia" w:cstheme="minorEastAsia"/>
          <w:color w:val="333333"/>
          <w:shd w:val="clear" w:color="auto" w:fill="FFFFFF"/>
          <w:lang w:eastAsia="zh-CN"/>
        </w:rPr>
        <w:t>8.本项目不接受联合体参与招标。</w:t>
      </w:r>
    </w:p>
    <w:p w14:paraId="5EE3C8F9">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12" w:name="_Toc28359080"/>
      <w:bookmarkStart w:id="13" w:name="_Toc28359003"/>
      <w:bookmarkStart w:id="14" w:name="_Toc35393622"/>
      <w:bookmarkStart w:id="15" w:name="_Toc38985264"/>
      <w:bookmarkStart w:id="16" w:name="_Toc35393791"/>
      <w:r>
        <w:rPr>
          <w:rFonts w:hint="eastAsia" w:asciiTheme="minorEastAsia" w:hAnsiTheme="minorEastAsia" w:cstheme="minorEastAsia"/>
          <w:b/>
          <w:bCs/>
          <w:color w:val="333333"/>
          <w:shd w:val="clear" w:color="auto" w:fill="FFFFFF"/>
        </w:rPr>
        <w:t>二、申请人的资格要求：</w:t>
      </w:r>
      <w:bookmarkEnd w:id="12"/>
      <w:bookmarkEnd w:id="13"/>
      <w:bookmarkEnd w:id="14"/>
      <w:bookmarkEnd w:id="15"/>
      <w:bookmarkEnd w:id="16"/>
    </w:p>
    <w:p w14:paraId="2A4EABF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1.满足《中华人民共和国政府采购法》第二十二条规定，并提供下列材料：</w:t>
      </w:r>
    </w:p>
    <w:p w14:paraId="7E7FA8CD">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1.1 法人或者其他组织的营业执照等证明文件，自然人的身份证明；</w:t>
      </w:r>
    </w:p>
    <w:p w14:paraId="7DB0109D">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1.2上一年度的财务状况报表（成立不满一年无需提供）；</w:t>
      </w:r>
    </w:p>
    <w:p w14:paraId="29FEC0BC">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1.3具备履行合同所必需的设备和专业技术能力的书面声明；</w:t>
      </w:r>
    </w:p>
    <w:p w14:paraId="7C75D8B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1C28C6B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1.5参加政府采购活动前3年内在经营活动中没有重大违法记录的书面声明。</w:t>
      </w:r>
    </w:p>
    <w:p w14:paraId="18A44CF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1.6法律、行政法规规定的其他条件。</w:t>
      </w:r>
    </w:p>
    <w:p w14:paraId="6886965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2.落实政府采购政策需满足的资格要求：</w:t>
      </w:r>
    </w:p>
    <w:p w14:paraId="26ECCB02">
      <w:pPr>
        <w:pStyle w:val="13"/>
        <w:numPr>
          <w:ilvl w:val="0"/>
          <w:numId w:val="0"/>
        </w:numPr>
        <w:spacing w:beforeAutospacing="0" w:afterAutospacing="0" w:line="460" w:lineRule="exact"/>
        <w:ind w:firstLine="480" w:firstLineChars="20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本项目为服务类采购项目，所属行业为：其他未列明行业。本项目为非预留份额的采购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p>
    <w:p w14:paraId="0D70A102">
      <w:pPr>
        <w:pStyle w:val="13"/>
        <w:numPr>
          <w:ilvl w:val="0"/>
          <w:numId w:val="1"/>
        </w:numPr>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本项目的特定资格要求：</w:t>
      </w:r>
    </w:p>
    <w:p w14:paraId="05A1CCA0">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3.1投标人具有</w:t>
      </w:r>
      <w:r>
        <w:rPr>
          <w:rFonts w:hint="eastAsia" w:asciiTheme="minorEastAsia" w:hAnsiTheme="minorEastAsia" w:cstheme="minorEastAsia"/>
          <w:color w:val="333333"/>
          <w:shd w:val="clear" w:color="auto" w:fill="FFFFFF"/>
        </w:rPr>
        <w:t>有效的《中华人民共和国经营保险业务许可证》。</w:t>
      </w:r>
    </w:p>
    <w:p w14:paraId="5567820E">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备注：</w:t>
      </w:r>
    </w:p>
    <w:p w14:paraId="01D5187E">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eastAsia="zh-CN"/>
        </w:rPr>
        <w:t>（</w:t>
      </w:r>
      <w:r>
        <w:rPr>
          <w:rFonts w:hint="eastAsia" w:asciiTheme="minorEastAsia" w:hAnsiTheme="minorEastAsia" w:cstheme="minorEastAsia"/>
          <w:color w:val="333333"/>
          <w:shd w:val="clear" w:color="auto" w:fill="FFFFFF"/>
          <w:lang w:val="en-US" w:eastAsia="zh-CN"/>
        </w:rPr>
        <w:t>1</w:t>
      </w:r>
      <w:r>
        <w:rPr>
          <w:rFonts w:hint="eastAsia" w:asciiTheme="minorEastAsia" w:hAnsiTheme="minorEastAsia" w:cstheme="minorEastAsia"/>
          <w:color w:val="333333"/>
          <w:shd w:val="clear" w:color="auto" w:fill="FFFFFF"/>
          <w:lang w:eastAsia="zh-CN"/>
        </w:rPr>
        <w:t>）</w:t>
      </w:r>
      <w:r>
        <w:rPr>
          <w:rFonts w:hint="eastAsia" w:asciiTheme="minorEastAsia" w:hAnsiTheme="minorEastAsia" w:cstheme="minorEastAsia"/>
          <w:color w:val="333333"/>
          <w:shd w:val="clear" w:color="auto" w:fill="FFFFFF"/>
        </w:rPr>
        <w:t>本项目允许分公司参与投标，如分公司参与投标的须提供总公司的法人企业授权书(格式自拟)。</w:t>
      </w:r>
    </w:p>
    <w:p w14:paraId="6F424720">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zh-CN" w:eastAsia="zh-CN"/>
        </w:rPr>
      </w:pPr>
      <w:r>
        <w:rPr>
          <w:rFonts w:hint="eastAsia" w:asciiTheme="minorEastAsia" w:hAnsiTheme="minorEastAsia" w:cstheme="minorEastAsia"/>
          <w:color w:val="333333"/>
          <w:shd w:val="clear" w:color="auto" w:fill="FFFFFF"/>
          <w:lang w:val="zh-CN" w:eastAsia="zh-CN"/>
        </w:rPr>
        <w:t>（</w:t>
      </w:r>
      <w:r>
        <w:rPr>
          <w:rFonts w:hint="eastAsia" w:asciiTheme="minorEastAsia" w:hAnsiTheme="minorEastAsia" w:cstheme="minorEastAsia"/>
          <w:color w:val="333333"/>
          <w:shd w:val="clear" w:color="auto" w:fill="FFFFFF"/>
          <w:lang w:val="en-US" w:eastAsia="zh-CN"/>
        </w:rPr>
        <w:t>2</w:t>
      </w:r>
      <w:r>
        <w:rPr>
          <w:rFonts w:hint="eastAsia" w:asciiTheme="minorEastAsia" w:hAnsiTheme="minorEastAsia" w:cstheme="minorEastAsia"/>
          <w:color w:val="333333"/>
          <w:shd w:val="clear" w:color="auto" w:fill="FFFFFF"/>
          <w:lang w:val="zh-CN" w:eastAsia="zh-CN"/>
        </w:rPr>
        <w:t>）投标人须为经保险监管部门批准设立的商业保险公司授权的分支机构，同一</w:t>
      </w:r>
      <w:r>
        <w:rPr>
          <w:rFonts w:hint="eastAsia" w:asciiTheme="minorEastAsia" w:hAnsiTheme="minorEastAsia" w:cstheme="minorEastAsia"/>
          <w:color w:val="333333"/>
          <w:shd w:val="clear" w:color="auto" w:fill="FFFFFF"/>
          <w:lang w:val="en-US" w:eastAsia="zh-CN"/>
        </w:rPr>
        <w:t>上级公司</w:t>
      </w:r>
      <w:r>
        <w:rPr>
          <w:rFonts w:hint="eastAsia" w:asciiTheme="minorEastAsia" w:hAnsiTheme="minorEastAsia" w:cstheme="minorEastAsia"/>
          <w:color w:val="333333"/>
          <w:shd w:val="clear" w:color="auto" w:fill="FFFFFF"/>
          <w:lang w:val="zh-CN" w:eastAsia="zh-CN"/>
        </w:rPr>
        <w:t>只能授权一家分支机构参与投标；</w:t>
      </w:r>
      <w:r>
        <w:rPr>
          <w:rFonts w:hint="eastAsia" w:asciiTheme="minorEastAsia" w:hAnsiTheme="minorEastAsia" w:cstheme="minorEastAsia"/>
          <w:color w:val="333333"/>
          <w:shd w:val="clear" w:color="auto" w:fill="FFFFFF"/>
          <w:lang w:val="en-US" w:eastAsia="zh-CN"/>
        </w:rPr>
        <w:t>根据《政府采购法实施条例》释义，银行、保险、石油石化、电力、电信等有行业特殊情况的，取得营业执照的分支机构可以分公司名义参与投标，采购文件中涉及的“法定代表人/单位负责人”在前述特殊行业中即对应为“分支机构（单位）负责人”；</w:t>
      </w:r>
    </w:p>
    <w:p w14:paraId="3F553FE3">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w:t>
      </w:r>
      <w:r>
        <w:rPr>
          <w:rFonts w:hint="eastAsia" w:asciiTheme="minorEastAsia" w:hAnsiTheme="minorEastAsia" w:cstheme="minorEastAsia"/>
          <w:color w:val="333333"/>
          <w:shd w:val="clear" w:color="auto" w:fill="FFFFFF"/>
          <w:lang w:val="en-US" w:eastAsia="zh-CN"/>
        </w:rPr>
        <w:t>2</w:t>
      </w:r>
      <w:r>
        <w:rPr>
          <w:rFonts w:hint="eastAsia" w:asciiTheme="minorEastAsia" w:hAnsiTheme="minorEastAsia" w:cstheme="minorEastAsia"/>
          <w:color w:val="333333"/>
          <w:shd w:val="clear" w:color="auto" w:fill="FFFFFF"/>
        </w:rPr>
        <w:t>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2D9BC8D6">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w:t>
      </w:r>
      <w:r>
        <w:rPr>
          <w:rFonts w:hint="eastAsia" w:asciiTheme="minorEastAsia" w:hAnsiTheme="minorEastAsia" w:cstheme="minorEastAsia"/>
          <w:color w:val="333333"/>
          <w:shd w:val="clear" w:color="auto" w:fill="FFFFFF"/>
          <w:lang w:val="en-US" w:eastAsia="zh-CN"/>
        </w:rPr>
        <w:t>3</w:t>
      </w:r>
      <w:r>
        <w:rPr>
          <w:rFonts w:hint="eastAsia" w:asciiTheme="minorEastAsia" w:hAnsiTheme="minorEastAsia" w:cstheme="minorEastAsia"/>
          <w:color w:val="333333"/>
          <w:shd w:val="clear" w:color="auto" w:fill="FFFFFF"/>
        </w:rPr>
        <w:t>单位负责人为同一人或者存在直接控股、管理关系的不同供应商，不得参加同一合同项下的政府采购活动。</w:t>
      </w:r>
    </w:p>
    <w:p w14:paraId="3C5E87C1">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三、获取招标文件</w:t>
      </w:r>
    </w:p>
    <w:p w14:paraId="6390EBAD">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bookmarkStart w:id="17" w:name="_Toc28359005"/>
      <w:bookmarkStart w:id="18" w:name="_Toc35393624"/>
      <w:bookmarkStart w:id="19" w:name="_Toc35393793"/>
      <w:bookmarkStart w:id="20" w:name="_Toc28359082"/>
      <w:bookmarkStart w:id="21" w:name="_Toc38985266"/>
      <w:r>
        <w:rPr>
          <w:rFonts w:hint="eastAsia" w:asciiTheme="minorEastAsia" w:hAnsiTheme="minorEastAsia" w:cstheme="minorEastAsia"/>
          <w:color w:val="333333"/>
          <w:shd w:val="clear" w:color="auto" w:fill="FFFFFF"/>
        </w:rPr>
        <w:t>1.</w:t>
      </w:r>
      <w:bookmarkEnd w:id="17"/>
      <w:bookmarkEnd w:id="18"/>
      <w:bookmarkEnd w:id="19"/>
      <w:bookmarkEnd w:id="20"/>
      <w:bookmarkEnd w:id="21"/>
      <w:r>
        <w:rPr>
          <w:rFonts w:hint="eastAsia" w:asciiTheme="minorEastAsia" w:hAnsiTheme="minorEastAsia" w:cstheme="minorEastAsia"/>
          <w:color w:val="333333"/>
          <w:shd w:val="clear" w:color="auto" w:fill="FFFFFF"/>
        </w:rPr>
        <w:t xml:space="preserve">时间：自招标文件公告发布之日起5个工作日 </w:t>
      </w:r>
    </w:p>
    <w:p w14:paraId="21F000C1">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2.</w:t>
      </w:r>
      <w:r>
        <w:rPr>
          <w:rFonts w:hint="eastAsia" w:asciiTheme="minorEastAsia" w:hAnsiTheme="minorEastAsia" w:cstheme="minorEastAsia"/>
          <w:color w:val="333333"/>
          <w:shd w:val="clear" w:color="auto" w:fill="FFFFFF"/>
        </w:rPr>
        <w:t xml:space="preserve">地点：网上注册登记成功后系统内免费下载 </w:t>
      </w:r>
    </w:p>
    <w:p w14:paraId="55631A39">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3.</w:t>
      </w:r>
      <w:r>
        <w:rPr>
          <w:rFonts w:hint="eastAsia" w:asciiTheme="minorEastAsia" w:hAnsiTheme="minorEastAsia" w:cstheme="minorEastAsia"/>
          <w:color w:val="333333"/>
          <w:shd w:val="clear" w:color="auto" w:fill="FFFFFF"/>
        </w:rPr>
        <w:t xml:space="preserve">方式：本项目采用网上注册登记方式 </w:t>
      </w:r>
    </w:p>
    <w:p w14:paraId="3235B0C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4.售价：0元</w:t>
      </w:r>
    </w:p>
    <w:p w14:paraId="6F11D2EC">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四、提交投标文件截止时间、开标时间和地点</w:t>
      </w:r>
    </w:p>
    <w:p w14:paraId="27D892E1">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1.时间：2025年</w:t>
      </w:r>
      <w:r>
        <w:rPr>
          <w:rFonts w:hint="eastAsia" w:asciiTheme="minorEastAsia" w:hAnsiTheme="minorEastAsia" w:cstheme="minorEastAsia"/>
          <w:color w:val="333333"/>
          <w:shd w:val="clear" w:color="auto" w:fill="FFFFFF"/>
          <w:lang w:val="en-US" w:eastAsia="zh-CN"/>
        </w:rPr>
        <w:t>11</w:t>
      </w:r>
      <w:r>
        <w:rPr>
          <w:rFonts w:hint="eastAsia" w:asciiTheme="minorEastAsia" w:hAnsiTheme="minorEastAsia" w:cstheme="minorEastAsia"/>
          <w:color w:val="333333"/>
          <w:shd w:val="clear" w:color="auto" w:fill="FFFFFF"/>
        </w:rPr>
        <w:t>月</w:t>
      </w:r>
      <w:r>
        <w:rPr>
          <w:rFonts w:hint="eastAsia" w:asciiTheme="minorEastAsia" w:hAnsiTheme="minorEastAsia" w:cstheme="minorEastAsia"/>
          <w:color w:val="333333"/>
          <w:shd w:val="clear" w:color="auto" w:fill="FFFFFF"/>
          <w:lang w:val="en-US" w:eastAsia="zh-CN"/>
        </w:rPr>
        <w:t>19</w:t>
      </w:r>
      <w:r>
        <w:rPr>
          <w:rFonts w:hint="eastAsia" w:asciiTheme="minorEastAsia" w:hAnsiTheme="minorEastAsia" w:cstheme="minorEastAsia"/>
          <w:color w:val="333333"/>
          <w:shd w:val="clear" w:color="auto" w:fill="FFFFFF"/>
        </w:rPr>
        <w:t>日</w:t>
      </w:r>
      <w:r>
        <w:rPr>
          <w:rFonts w:hint="eastAsia" w:asciiTheme="minorEastAsia" w:hAnsiTheme="minorEastAsia" w:cstheme="minorEastAsia"/>
          <w:color w:val="333333"/>
          <w:shd w:val="clear" w:color="auto" w:fill="FFFFFF"/>
          <w:lang w:val="en-US" w:eastAsia="zh-CN"/>
        </w:rPr>
        <w:t>9</w:t>
      </w:r>
      <w:r>
        <w:rPr>
          <w:rFonts w:hint="eastAsia" w:asciiTheme="minorEastAsia" w:hAnsiTheme="minorEastAsia" w:cstheme="minorEastAsia"/>
          <w:color w:val="333333"/>
          <w:shd w:val="clear" w:color="auto" w:fill="FFFFFF"/>
        </w:rPr>
        <w:t>:00分（北京时间）</w:t>
      </w:r>
    </w:p>
    <w:p w14:paraId="6BAAEA2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2.地点：“苏采云”政府采购交易系统网上开标大厅。</w:t>
      </w:r>
    </w:p>
    <w:p w14:paraId="1F97C79E">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22" w:name="_Toc38985267"/>
      <w:bookmarkStart w:id="23" w:name="_Toc35393625"/>
      <w:bookmarkStart w:id="24" w:name="_Toc28359084"/>
      <w:bookmarkStart w:id="25" w:name="_Toc28359007"/>
      <w:bookmarkStart w:id="26" w:name="_Toc35393794"/>
      <w:r>
        <w:rPr>
          <w:rFonts w:hint="eastAsia" w:asciiTheme="minorEastAsia" w:hAnsiTheme="minorEastAsia" w:cstheme="minorEastAsia"/>
          <w:b/>
          <w:bCs/>
          <w:color w:val="333333"/>
          <w:shd w:val="clear" w:color="auto" w:fill="FFFFFF"/>
        </w:rPr>
        <w:t>五、公告期限</w:t>
      </w:r>
      <w:bookmarkEnd w:id="22"/>
      <w:bookmarkEnd w:id="23"/>
      <w:bookmarkEnd w:id="24"/>
      <w:bookmarkEnd w:id="25"/>
      <w:bookmarkEnd w:id="26"/>
    </w:p>
    <w:p w14:paraId="6F592B84">
      <w:pPr>
        <w:pStyle w:val="13"/>
        <w:spacing w:beforeAutospacing="0" w:afterAutospacing="0" w:line="360" w:lineRule="auto"/>
        <w:ind w:firstLine="480"/>
        <w:jc w:val="both"/>
        <w:rPr>
          <w:rFonts w:asciiTheme="minorEastAsia" w:hAnsiTheme="minorEastAsia" w:cstheme="minorEastAsia"/>
          <w:color w:val="333333"/>
          <w:shd w:val="clear" w:color="auto" w:fill="FFFFFF"/>
        </w:rPr>
      </w:pPr>
      <w:bookmarkStart w:id="27" w:name="_Toc38985268"/>
      <w:bookmarkStart w:id="28" w:name="_Toc35393795"/>
      <w:bookmarkStart w:id="29" w:name="_Toc35393626"/>
      <w:r>
        <w:rPr>
          <w:rFonts w:hint="eastAsia" w:asciiTheme="minorEastAsia" w:hAnsiTheme="minorEastAsia" w:cstheme="minorEastAsia"/>
          <w:color w:val="333333"/>
          <w:shd w:val="clear" w:color="auto" w:fill="FFFFFF"/>
        </w:rPr>
        <w:t>自本公告发布之日起5个工作日。</w:t>
      </w:r>
      <w:bookmarkEnd w:id="27"/>
      <w:bookmarkEnd w:id="28"/>
      <w:bookmarkEnd w:id="29"/>
    </w:p>
    <w:p w14:paraId="154EF8F9">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六、其他补充事宜</w:t>
      </w:r>
    </w:p>
    <w:p w14:paraId="625D6A15">
      <w:pPr>
        <w:pStyle w:val="13"/>
        <w:spacing w:beforeAutospacing="0" w:afterAutospacing="0" w:line="360" w:lineRule="auto"/>
        <w:ind w:firstLine="480"/>
        <w:jc w:val="both"/>
        <w:rPr>
          <w:rFonts w:asciiTheme="minorEastAsia" w:hAnsiTheme="minorEastAsia" w:cstheme="minorEastAsia"/>
          <w:color w:val="333333"/>
          <w:shd w:val="clear" w:color="auto" w:fill="FFFFFF"/>
        </w:rPr>
      </w:pPr>
      <w:bookmarkStart w:id="30" w:name="_Toc28359018"/>
      <w:r>
        <w:rPr>
          <w:rFonts w:hint="eastAsia" w:asciiTheme="minorEastAsia" w:hAnsiTheme="minorEastAsia" w:cstheme="minorEastAsia"/>
          <w:color w:val="333333"/>
          <w:shd w:val="clear" w:color="auto" w:fill="FFFFFF"/>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p>
    <w:p w14:paraId="0A171D6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http://www.ccgp-jiangsu.gov.cn/jiangsu/zlxz/ee/ee3a4bc5a3454aa2b0d9312230633ce9.html。</w:t>
      </w:r>
    </w:p>
    <w:p w14:paraId="609E6BF6">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下地址：http://czj.yancheng.gov.cn/art/2023/9/14/art_2407_4057499.html。</w:t>
      </w:r>
    </w:p>
    <w:p w14:paraId="48F3A43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2.有关本次招标的事项若存在变动或修改，敬请及时关注盐城市政府采购中心在“中国政府采购网”、“江苏政府采购网”、“盐城市政府采购网”发布的更正公告。</w:t>
      </w:r>
    </w:p>
    <w:p w14:paraId="77940212">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3.本次招标不收取投标保证金，不收取质量保证金。</w:t>
      </w:r>
    </w:p>
    <w:p w14:paraId="4D70ABDF">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七、对本次招标提出询问，请按以下方式联系。</w:t>
      </w:r>
      <w:bookmarkEnd w:id="30"/>
    </w:p>
    <w:p w14:paraId="3E0F3FCF">
      <w:pPr>
        <w:spacing w:line="480" w:lineRule="exact"/>
        <w:ind w:firstLine="480"/>
        <w:rPr>
          <w:rFonts w:hint="eastAsia" w:asciiTheme="minorEastAsia" w:hAnsiTheme="minorEastAsia" w:cstheme="minorEastAsia"/>
          <w:color w:val="333333"/>
          <w:kern w:val="0"/>
          <w:sz w:val="24"/>
          <w:shd w:val="clear" w:color="auto" w:fill="FFFFFF"/>
        </w:rPr>
      </w:pPr>
      <w:bookmarkStart w:id="31" w:name="_Toc28359009"/>
      <w:r>
        <w:rPr>
          <w:rFonts w:hint="eastAsia" w:asciiTheme="minorEastAsia" w:hAnsiTheme="minorEastAsia" w:cstheme="minorEastAsia"/>
          <w:color w:val="333333"/>
          <w:kern w:val="0"/>
          <w:sz w:val="24"/>
          <w:shd w:val="clear" w:color="auto" w:fill="FFFFFF"/>
        </w:rPr>
        <w:t>1、采购人信息</w:t>
      </w:r>
    </w:p>
    <w:p w14:paraId="555524FE">
      <w:pPr>
        <w:spacing w:line="480" w:lineRule="exact"/>
        <w:ind w:firstLine="480"/>
        <w:rPr>
          <w:rFonts w:hint="eastAsia" w:asciiTheme="minorEastAsia" w:hAnsiTheme="minorEastAsia" w:cstheme="minorEastAsia"/>
          <w:color w:val="333333"/>
          <w:kern w:val="0"/>
          <w:sz w:val="24"/>
          <w:shd w:val="clear" w:color="auto" w:fill="FFFFFF"/>
          <w:lang w:eastAsia="zh-CN"/>
        </w:rPr>
      </w:pPr>
      <w:r>
        <w:rPr>
          <w:rFonts w:hint="eastAsia" w:asciiTheme="minorEastAsia" w:hAnsiTheme="minorEastAsia" w:cstheme="minorEastAsia"/>
          <w:color w:val="333333"/>
          <w:kern w:val="0"/>
          <w:sz w:val="24"/>
          <w:shd w:val="clear" w:color="auto" w:fill="FFFFFF"/>
        </w:rPr>
        <w:t xml:space="preserve">名 </w:t>
      </w:r>
      <w:r>
        <w:rPr>
          <w:rFonts w:hint="eastAsia" w:asciiTheme="minorEastAsia" w:hAnsiTheme="minorEastAsia" w:cstheme="minorEastAsia"/>
          <w:color w:val="333333"/>
          <w:kern w:val="0"/>
          <w:sz w:val="24"/>
          <w:shd w:val="clear" w:color="auto" w:fill="FFFFFF"/>
          <w:lang w:val="en-US" w:eastAsia="zh-CN"/>
        </w:rPr>
        <w:t xml:space="preserve"> </w:t>
      </w:r>
      <w:r>
        <w:rPr>
          <w:rFonts w:hint="eastAsia" w:asciiTheme="minorEastAsia" w:hAnsiTheme="minorEastAsia" w:cstheme="minorEastAsia"/>
          <w:color w:val="333333"/>
          <w:kern w:val="0"/>
          <w:sz w:val="24"/>
          <w:shd w:val="clear" w:color="auto" w:fill="FFFFFF"/>
        </w:rPr>
        <w:t>称：</w:t>
      </w:r>
      <w:r>
        <w:rPr>
          <w:rFonts w:hint="eastAsia" w:asciiTheme="minorEastAsia" w:hAnsiTheme="minorEastAsia" w:cstheme="minorEastAsia"/>
          <w:color w:val="333333"/>
          <w:kern w:val="0"/>
          <w:sz w:val="24"/>
          <w:shd w:val="clear" w:color="auto" w:fill="FFFFFF"/>
          <w:lang w:eastAsia="zh-CN"/>
        </w:rPr>
        <w:t>射阳县农业综合行政执法大队</w:t>
      </w:r>
    </w:p>
    <w:p w14:paraId="74E39120">
      <w:pPr>
        <w:spacing w:line="480" w:lineRule="exact"/>
        <w:ind w:firstLine="480"/>
        <w:rPr>
          <w:rFonts w:hint="default" w:asciiTheme="minorEastAsia" w:hAnsiTheme="minorEastAsia" w:cstheme="minorEastAsia"/>
          <w:color w:val="333333"/>
          <w:kern w:val="0"/>
          <w:sz w:val="24"/>
          <w:shd w:val="clear" w:color="auto" w:fill="FFFFFF"/>
          <w:lang w:val="en-US" w:eastAsia="zh-CN"/>
        </w:rPr>
      </w:pPr>
      <w:r>
        <w:rPr>
          <w:rFonts w:hint="eastAsia" w:asciiTheme="minorEastAsia" w:hAnsiTheme="minorEastAsia" w:cstheme="minorEastAsia"/>
          <w:color w:val="333333"/>
          <w:kern w:val="0"/>
          <w:sz w:val="24"/>
          <w:shd w:val="clear" w:color="auto" w:fill="FFFFFF"/>
        </w:rPr>
        <w:t xml:space="preserve">地 </w:t>
      </w:r>
      <w:r>
        <w:rPr>
          <w:rFonts w:hint="eastAsia" w:asciiTheme="minorEastAsia" w:hAnsiTheme="minorEastAsia" w:cstheme="minorEastAsia"/>
          <w:color w:val="333333"/>
          <w:kern w:val="0"/>
          <w:sz w:val="24"/>
          <w:shd w:val="clear" w:color="auto" w:fill="FFFFFF"/>
          <w:lang w:val="en-US" w:eastAsia="zh-CN"/>
        </w:rPr>
        <w:t xml:space="preserve"> </w:t>
      </w:r>
      <w:r>
        <w:rPr>
          <w:rFonts w:hint="eastAsia" w:asciiTheme="minorEastAsia" w:hAnsiTheme="minorEastAsia" w:cstheme="minorEastAsia"/>
          <w:color w:val="333333"/>
          <w:kern w:val="0"/>
          <w:sz w:val="24"/>
          <w:shd w:val="clear" w:color="auto" w:fill="FFFFFF"/>
        </w:rPr>
        <w:t>址：射阳县</w:t>
      </w:r>
      <w:r>
        <w:rPr>
          <w:rFonts w:hint="eastAsia" w:asciiTheme="minorEastAsia" w:hAnsiTheme="minorEastAsia" w:cstheme="minorEastAsia"/>
          <w:color w:val="333333"/>
          <w:kern w:val="0"/>
          <w:sz w:val="24"/>
          <w:shd w:val="clear" w:color="auto" w:fill="FFFFFF"/>
          <w:lang w:val="en-US" w:eastAsia="zh-CN"/>
        </w:rPr>
        <w:t>解放路</w:t>
      </w:r>
    </w:p>
    <w:p w14:paraId="1E2B9C9F">
      <w:pPr>
        <w:spacing w:line="480" w:lineRule="exact"/>
        <w:ind w:firstLine="480"/>
        <w:rPr>
          <w:rFonts w:hint="eastAsia" w:asciiTheme="minorEastAsia" w:hAnsiTheme="minorEastAsia" w:cstheme="minorEastAsia"/>
          <w:color w:val="333333"/>
          <w:kern w:val="0"/>
          <w:sz w:val="24"/>
          <w:shd w:val="clear" w:color="auto" w:fill="FFFFFF"/>
          <w:lang w:val="en-US" w:eastAsia="zh-CN"/>
        </w:rPr>
      </w:pPr>
      <w:r>
        <w:rPr>
          <w:rFonts w:hint="eastAsia" w:asciiTheme="minorEastAsia" w:hAnsiTheme="minorEastAsia" w:cstheme="minorEastAsia"/>
          <w:color w:val="333333"/>
          <w:kern w:val="0"/>
          <w:sz w:val="24"/>
          <w:shd w:val="clear" w:color="auto" w:fill="FFFFFF"/>
          <w:lang w:val="en-US" w:eastAsia="zh-CN"/>
        </w:rPr>
        <w:t xml:space="preserve">联系人：吴先生         </w:t>
      </w:r>
    </w:p>
    <w:p w14:paraId="0D74B861">
      <w:pPr>
        <w:spacing w:line="480" w:lineRule="exact"/>
        <w:ind w:firstLine="480"/>
        <w:rPr>
          <w:rFonts w:hint="eastAsia" w:asciiTheme="minorEastAsia" w:hAnsiTheme="minorEastAsia" w:cstheme="minorEastAsia"/>
          <w:color w:val="333333"/>
          <w:kern w:val="0"/>
          <w:sz w:val="24"/>
          <w:shd w:val="clear" w:color="auto" w:fill="FFFFFF"/>
          <w:lang w:val="en-US" w:eastAsia="zh-CN"/>
        </w:rPr>
      </w:pPr>
      <w:r>
        <w:rPr>
          <w:rFonts w:hint="eastAsia" w:asciiTheme="minorEastAsia" w:hAnsiTheme="minorEastAsia" w:cstheme="minorEastAsia"/>
          <w:color w:val="333333"/>
          <w:kern w:val="0"/>
          <w:sz w:val="24"/>
          <w:shd w:val="clear" w:color="auto" w:fill="FFFFFF"/>
          <w:lang w:val="en-US" w:eastAsia="zh-CN"/>
        </w:rPr>
        <w:t xml:space="preserve">联系方式：0515-82805988    </w:t>
      </w:r>
    </w:p>
    <w:p w14:paraId="52DCB09D">
      <w:pPr>
        <w:spacing w:line="480" w:lineRule="exact"/>
        <w:ind w:firstLine="480"/>
        <w:rPr>
          <w:rFonts w:hint="eastAsia" w:asciiTheme="minorEastAsia" w:hAnsiTheme="minorEastAsia" w:cstheme="minorEastAsia"/>
          <w:color w:val="333333"/>
          <w:kern w:val="0"/>
          <w:sz w:val="24"/>
          <w:shd w:val="clear" w:color="auto" w:fill="FFFFFF"/>
        </w:rPr>
      </w:pPr>
      <w:r>
        <w:rPr>
          <w:rFonts w:hint="eastAsia" w:asciiTheme="minorEastAsia" w:hAnsiTheme="minorEastAsia" w:cstheme="minorEastAsia"/>
          <w:color w:val="333333"/>
          <w:kern w:val="0"/>
          <w:sz w:val="24"/>
          <w:shd w:val="clear" w:color="auto" w:fill="FFFFFF"/>
        </w:rPr>
        <w:t>2.采购代理机构信息</w:t>
      </w:r>
    </w:p>
    <w:p w14:paraId="65F4E8A6">
      <w:pPr>
        <w:spacing w:line="480" w:lineRule="exact"/>
        <w:ind w:firstLine="480"/>
        <w:rPr>
          <w:rFonts w:hint="eastAsia" w:asciiTheme="minorEastAsia" w:hAnsiTheme="minorEastAsia" w:cstheme="minorEastAsia"/>
          <w:color w:val="333333"/>
          <w:kern w:val="0"/>
          <w:sz w:val="24"/>
          <w:shd w:val="clear" w:color="auto" w:fill="FFFFFF"/>
        </w:rPr>
      </w:pPr>
      <w:r>
        <w:rPr>
          <w:rFonts w:hint="eastAsia" w:asciiTheme="minorEastAsia" w:hAnsiTheme="minorEastAsia" w:cstheme="minorEastAsia"/>
          <w:color w:val="333333"/>
          <w:kern w:val="0"/>
          <w:sz w:val="24"/>
          <w:shd w:val="clear" w:color="auto" w:fill="FFFFFF"/>
        </w:rPr>
        <w:t>名  称：盐城畅达招标代理有限公司</w:t>
      </w:r>
    </w:p>
    <w:p w14:paraId="444564DF">
      <w:pPr>
        <w:spacing w:line="480" w:lineRule="exact"/>
        <w:ind w:firstLine="480"/>
        <w:rPr>
          <w:rFonts w:hint="eastAsia" w:asciiTheme="minorEastAsia" w:hAnsiTheme="minorEastAsia" w:cstheme="minorEastAsia"/>
          <w:color w:val="333333"/>
          <w:kern w:val="0"/>
          <w:sz w:val="24"/>
          <w:shd w:val="clear" w:color="auto" w:fill="FFFFFF"/>
        </w:rPr>
      </w:pPr>
      <w:r>
        <w:rPr>
          <w:rFonts w:hint="eastAsia" w:asciiTheme="minorEastAsia" w:hAnsiTheme="minorEastAsia" w:cstheme="minorEastAsia"/>
          <w:color w:val="333333"/>
          <w:kern w:val="0"/>
          <w:sz w:val="24"/>
          <w:shd w:val="clear" w:color="auto" w:fill="FFFFFF"/>
        </w:rPr>
        <w:t>地　址：射阳县合德镇人民西路金源创客空间2F</w:t>
      </w:r>
    </w:p>
    <w:p w14:paraId="27C36060">
      <w:pPr>
        <w:spacing w:line="480" w:lineRule="exact"/>
        <w:ind w:firstLine="480"/>
        <w:rPr>
          <w:rFonts w:hint="eastAsia" w:asciiTheme="minorEastAsia" w:hAnsiTheme="minorEastAsia" w:cstheme="minorEastAsia"/>
          <w:color w:val="333333"/>
          <w:kern w:val="0"/>
          <w:sz w:val="24"/>
          <w:shd w:val="clear" w:color="auto" w:fill="FFFFFF"/>
        </w:rPr>
      </w:pPr>
      <w:r>
        <w:rPr>
          <w:rFonts w:hint="eastAsia" w:asciiTheme="minorEastAsia" w:hAnsiTheme="minorEastAsia" w:cstheme="minorEastAsia"/>
          <w:color w:val="333333"/>
          <w:kern w:val="0"/>
          <w:sz w:val="24"/>
          <w:shd w:val="clear" w:color="auto" w:fill="FFFFFF"/>
        </w:rPr>
        <w:t>联系方式：15189268322</w:t>
      </w:r>
    </w:p>
    <w:p w14:paraId="5511605F">
      <w:pPr>
        <w:spacing w:line="480" w:lineRule="exact"/>
        <w:ind w:firstLine="480"/>
        <w:rPr>
          <w:rFonts w:hint="eastAsia" w:asciiTheme="minorEastAsia" w:hAnsiTheme="minorEastAsia" w:cstheme="minorEastAsia"/>
          <w:color w:val="333333"/>
          <w:kern w:val="0"/>
          <w:sz w:val="24"/>
          <w:shd w:val="clear" w:color="auto" w:fill="FFFFFF"/>
        </w:rPr>
      </w:pPr>
      <w:r>
        <w:rPr>
          <w:rFonts w:hint="eastAsia" w:asciiTheme="minorEastAsia" w:hAnsiTheme="minorEastAsia" w:cstheme="minorEastAsia"/>
          <w:color w:val="333333"/>
          <w:kern w:val="0"/>
          <w:sz w:val="24"/>
          <w:shd w:val="clear" w:color="auto" w:fill="FFFFFF"/>
        </w:rPr>
        <w:t>3、项目联系方式</w:t>
      </w:r>
    </w:p>
    <w:p w14:paraId="3F41B992">
      <w:pPr>
        <w:spacing w:line="480" w:lineRule="exact"/>
        <w:ind w:firstLine="480"/>
        <w:rPr>
          <w:rFonts w:hint="eastAsia" w:asciiTheme="minorEastAsia" w:hAnsiTheme="minorEastAsia" w:cstheme="minorEastAsia"/>
          <w:color w:val="333333"/>
          <w:kern w:val="0"/>
          <w:sz w:val="24"/>
          <w:shd w:val="clear" w:color="auto" w:fill="FFFFFF"/>
          <w:lang w:val="en-US" w:eastAsia="zh-CN"/>
        </w:rPr>
      </w:pPr>
      <w:r>
        <w:rPr>
          <w:rFonts w:hint="eastAsia" w:asciiTheme="minorEastAsia" w:hAnsiTheme="minorEastAsia" w:cstheme="minorEastAsia"/>
          <w:color w:val="333333"/>
          <w:kern w:val="0"/>
          <w:sz w:val="24"/>
          <w:shd w:val="clear" w:color="auto" w:fill="FFFFFF"/>
          <w:lang w:val="en-US" w:eastAsia="zh-CN"/>
        </w:rPr>
        <w:t xml:space="preserve">联系人：吴先生         </w:t>
      </w:r>
    </w:p>
    <w:p w14:paraId="0D10FB5B">
      <w:pPr>
        <w:spacing w:line="480" w:lineRule="exact"/>
        <w:ind w:firstLine="480"/>
        <w:rPr>
          <w:rFonts w:hint="eastAsia" w:asciiTheme="minorEastAsia" w:hAnsiTheme="minorEastAsia" w:cstheme="minorEastAsia"/>
          <w:color w:val="333333"/>
          <w:kern w:val="0"/>
          <w:sz w:val="24"/>
          <w:shd w:val="clear" w:color="auto" w:fill="FFFFFF"/>
        </w:rPr>
      </w:pPr>
      <w:r>
        <w:rPr>
          <w:rFonts w:hint="eastAsia" w:asciiTheme="minorEastAsia" w:hAnsiTheme="minorEastAsia" w:cstheme="minorEastAsia"/>
          <w:color w:val="333333"/>
          <w:kern w:val="0"/>
          <w:sz w:val="24"/>
          <w:shd w:val="clear" w:color="auto" w:fill="FFFFFF"/>
          <w:lang w:val="en-US" w:eastAsia="zh-CN"/>
        </w:rPr>
        <w:t xml:space="preserve">联系方式：0515-82805988  </w:t>
      </w:r>
    </w:p>
    <w:p w14:paraId="6607EB72">
      <w:pPr>
        <w:spacing w:line="480" w:lineRule="exact"/>
        <w:ind w:firstLine="480"/>
        <w:rPr>
          <w:rFonts w:hint="eastAsia" w:asciiTheme="minorEastAsia" w:hAnsiTheme="minorEastAsia" w:cstheme="minorEastAsia"/>
          <w:color w:val="333333"/>
          <w:kern w:val="0"/>
          <w:sz w:val="24"/>
          <w:shd w:val="clear" w:color="auto" w:fill="FFFFFF"/>
        </w:rPr>
      </w:pPr>
      <w:r>
        <w:rPr>
          <w:rFonts w:hint="eastAsia" w:asciiTheme="minorEastAsia" w:hAnsiTheme="minorEastAsia" w:cstheme="minorEastAsia"/>
          <w:color w:val="333333"/>
          <w:kern w:val="0"/>
          <w:sz w:val="24"/>
          <w:shd w:val="clear" w:color="auto" w:fill="FFFFFF"/>
        </w:rPr>
        <w:br w:type="page"/>
      </w:r>
    </w:p>
    <w:p w14:paraId="59F3F521">
      <w:pPr>
        <w:pStyle w:val="13"/>
        <w:spacing w:beforeAutospacing="0" w:afterAutospacing="0" w:line="360" w:lineRule="auto"/>
        <w:ind w:firstLine="480"/>
        <w:jc w:val="both"/>
      </w:pPr>
      <w:r>
        <w:rPr>
          <w:rFonts w:hint="eastAsia" w:ascii="仿宋" w:hAnsi="仿宋" w:eastAsia="仿宋" w:cs="仿宋"/>
          <w:color w:val="333333"/>
          <w:sz w:val="28"/>
          <w:szCs w:val="28"/>
          <w:shd w:val="clear" w:color="auto" w:fill="FFFFFF"/>
        </w:rPr>
        <w:t> </w:t>
      </w:r>
      <w:bookmarkStart w:id="32" w:name="_Toc120614211"/>
      <w:r>
        <w:rPr>
          <w:rFonts w:hint="eastAsia" w:ascii="仿宋" w:hAnsi="仿宋" w:eastAsia="仿宋" w:cs="仿宋"/>
          <w:color w:val="333333"/>
          <w:sz w:val="28"/>
          <w:szCs w:val="28"/>
          <w:shd w:val="clear" w:color="auto" w:fill="FFFFFF"/>
          <w:lang w:val="en-US" w:eastAsia="zh-CN"/>
        </w:rPr>
        <w:t xml:space="preserve">            </w:t>
      </w:r>
      <w:r>
        <w:rPr>
          <w:rFonts w:hint="eastAsia" w:ascii="黑体" w:hAnsi="宋体" w:eastAsia="黑体" w:cs="黑体"/>
          <w:b/>
          <w:color w:val="000000"/>
          <w:sz w:val="44"/>
          <w:szCs w:val="44"/>
        </w:rPr>
        <w:t xml:space="preserve">第二章  </w:t>
      </w:r>
      <w:bookmarkEnd w:id="32"/>
      <w:bookmarkStart w:id="33" w:name="_Toc20823274"/>
      <w:bookmarkStart w:id="34" w:name="_Toc16938518"/>
      <w:bookmarkStart w:id="35" w:name="_Toc120614213"/>
      <w:bookmarkStart w:id="36" w:name="_Toc513029202"/>
      <w:r>
        <w:rPr>
          <w:rFonts w:hint="eastAsia" w:ascii="黑体" w:hAnsi="宋体" w:eastAsia="黑体" w:cs="黑体"/>
          <w:b/>
          <w:color w:val="000000"/>
          <w:sz w:val="44"/>
          <w:szCs w:val="44"/>
        </w:rPr>
        <w:t>投标人须知</w:t>
      </w:r>
      <w:bookmarkEnd w:id="33"/>
      <w:bookmarkEnd w:id="34"/>
      <w:bookmarkEnd w:id="35"/>
      <w:bookmarkEnd w:id="36"/>
    </w:p>
    <w:p w14:paraId="32E7495E">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37" w:name="_Toc513029203"/>
      <w:bookmarkStart w:id="38" w:name="_Toc16938519"/>
      <w:bookmarkStart w:id="39" w:name="_Toc20823275"/>
      <w:bookmarkStart w:id="40" w:name="_Toc120614214"/>
      <w:r>
        <w:rPr>
          <w:rFonts w:hint="eastAsia" w:asciiTheme="minorEastAsia" w:hAnsiTheme="minorEastAsia" w:cstheme="minorEastAsia"/>
          <w:b/>
          <w:bCs/>
          <w:color w:val="333333"/>
          <w:shd w:val="clear" w:color="auto" w:fill="FFFFFF"/>
        </w:rPr>
        <w:t>一、总则</w:t>
      </w:r>
      <w:bookmarkEnd w:id="37"/>
      <w:bookmarkEnd w:id="38"/>
      <w:bookmarkEnd w:id="39"/>
      <w:bookmarkEnd w:id="40"/>
    </w:p>
    <w:p w14:paraId="0B7DB4D6">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41" w:name="_Toc16938520"/>
      <w:bookmarkStart w:id="42" w:name="_Toc458694821"/>
      <w:bookmarkStart w:id="43" w:name="_Toc20823276"/>
      <w:bookmarkStart w:id="44" w:name="_Toc513029204"/>
      <w:bookmarkStart w:id="45" w:name="_Hlt16619475"/>
      <w:r>
        <w:rPr>
          <w:rFonts w:hint="eastAsia" w:asciiTheme="minorEastAsia" w:hAnsiTheme="minorEastAsia" w:cstheme="minorEastAsia"/>
          <w:b/>
          <w:bCs/>
          <w:color w:val="333333"/>
          <w:shd w:val="clear" w:color="auto" w:fill="FFFFFF"/>
        </w:rPr>
        <w:t>1</w:t>
      </w:r>
      <w:bookmarkEnd w:id="41"/>
      <w:r>
        <w:rPr>
          <w:rFonts w:hint="eastAsia" w:asciiTheme="minorEastAsia" w:hAnsiTheme="minorEastAsia" w:cstheme="minorEastAsia"/>
          <w:b/>
          <w:bCs/>
          <w:color w:val="333333"/>
          <w:shd w:val="clear" w:color="auto" w:fill="FFFFFF"/>
        </w:rPr>
        <w:t>、招标方式</w:t>
      </w:r>
      <w:bookmarkEnd w:id="42"/>
      <w:bookmarkEnd w:id="43"/>
      <w:bookmarkEnd w:id="44"/>
    </w:p>
    <w:p w14:paraId="735360F3">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1.1本次招标采取公开招标方式，本招标文件仅适用于招标公告中所述项目。</w:t>
      </w:r>
    </w:p>
    <w:p w14:paraId="395096B8">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46" w:name="_Toc16938521"/>
      <w:bookmarkStart w:id="47" w:name="_Toc20823277"/>
      <w:bookmarkStart w:id="48" w:name="_Toc513029205"/>
      <w:r>
        <w:rPr>
          <w:rFonts w:hint="eastAsia" w:asciiTheme="minorEastAsia" w:hAnsiTheme="minorEastAsia" w:cstheme="minorEastAsia"/>
          <w:b/>
          <w:bCs/>
          <w:color w:val="333333"/>
          <w:shd w:val="clear" w:color="auto" w:fill="FFFFFF"/>
        </w:rPr>
        <w:t>2、合格的投标人</w:t>
      </w:r>
      <w:bookmarkEnd w:id="46"/>
      <w:bookmarkEnd w:id="47"/>
      <w:bookmarkEnd w:id="48"/>
    </w:p>
    <w:p w14:paraId="335B11C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2.1满足招标公告中供应商的资格要求的规定。</w:t>
      </w:r>
    </w:p>
    <w:p w14:paraId="10F650B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2.2满足本文件实质性要求和条件的规定。</w:t>
      </w:r>
    </w:p>
    <w:p w14:paraId="69E46990">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49" w:name="_Toc513029206"/>
      <w:bookmarkStart w:id="50" w:name="_Toc16938522"/>
      <w:bookmarkStart w:id="51" w:name="_Toc20823278"/>
      <w:r>
        <w:rPr>
          <w:rFonts w:hint="eastAsia" w:asciiTheme="minorEastAsia" w:hAnsiTheme="minorEastAsia" w:cstheme="minorEastAsia"/>
          <w:b/>
          <w:bCs/>
          <w:color w:val="333333"/>
          <w:shd w:val="clear" w:color="auto" w:fill="FFFFFF"/>
        </w:rPr>
        <w:t>3、适用法律</w:t>
      </w:r>
      <w:bookmarkEnd w:id="49"/>
      <w:bookmarkEnd w:id="50"/>
      <w:bookmarkEnd w:id="51"/>
    </w:p>
    <w:p w14:paraId="246A8D4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3.1本次招标及由此产生的合同受中华人民共和国有关的法律法规制约和保护。</w:t>
      </w:r>
    </w:p>
    <w:p w14:paraId="02B6F44A">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52" w:name="_Toc20823279"/>
      <w:bookmarkStart w:id="53" w:name="_Toc16938523"/>
      <w:bookmarkStart w:id="54" w:name="_Toc462564067"/>
      <w:bookmarkStart w:id="55" w:name="_Toc513029207"/>
      <w:r>
        <w:rPr>
          <w:rFonts w:hint="eastAsia" w:asciiTheme="minorEastAsia" w:hAnsiTheme="minorEastAsia" w:cstheme="minorEastAsia"/>
          <w:b/>
          <w:bCs/>
          <w:color w:val="333333"/>
          <w:shd w:val="clear" w:color="auto" w:fill="FFFFFF"/>
        </w:rPr>
        <w:t>4、投标费用</w:t>
      </w:r>
      <w:bookmarkEnd w:id="52"/>
      <w:bookmarkEnd w:id="53"/>
      <w:bookmarkEnd w:id="54"/>
      <w:bookmarkEnd w:id="55"/>
    </w:p>
    <w:p w14:paraId="726CF65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4.1投标人应自行承担所有与参加投标有关的费用，无论投标过程中的做法和结果如何，盐城畅达招标代理有限公司（以下简称代理机构）在任何情况下均无义务和责任承担这些费用。</w:t>
      </w:r>
    </w:p>
    <w:p w14:paraId="38453F92">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4.2本次招标采购人和盐城畅达招标代理有限公司公司不收取标书工本费。</w:t>
      </w:r>
    </w:p>
    <w:p w14:paraId="37D2F6BC">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5、招标文件的约束力</w:t>
      </w:r>
    </w:p>
    <w:p w14:paraId="6E4E901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5.1投标人一旦参加本项目采购活动，即被认为接受了本招标文件的规定和约束。</w:t>
      </w:r>
    </w:p>
    <w:p w14:paraId="19AAEE85">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56" w:name="_Toc120614215"/>
      <w:bookmarkStart w:id="57" w:name="_Toc16938525"/>
      <w:bookmarkStart w:id="58" w:name="_Toc20823281"/>
      <w:bookmarkStart w:id="59" w:name="_Toc513029209"/>
      <w:r>
        <w:rPr>
          <w:rFonts w:hint="eastAsia" w:asciiTheme="minorEastAsia" w:hAnsiTheme="minorEastAsia" w:cstheme="minorEastAsia"/>
          <w:b/>
          <w:bCs/>
          <w:color w:val="333333"/>
          <w:shd w:val="clear" w:color="auto" w:fill="FFFFFF"/>
        </w:rPr>
        <w:t>二、招标文件</w:t>
      </w:r>
      <w:bookmarkEnd w:id="56"/>
      <w:bookmarkEnd w:id="57"/>
      <w:bookmarkEnd w:id="58"/>
      <w:bookmarkEnd w:id="59"/>
    </w:p>
    <w:p w14:paraId="03F25174">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60" w:name="_Toc20823282"/>
      <w:bookmarkStart w:id="61" w:name="_Toc16938526"/>
      <w:bookmarkStart w:id="62" w:name="_Toc513029210"/>
      <w:r>
        <w:rPr>
          <w:rFonts w:hint="eastAsia" w:asciiTheme="minorEastAsia" w:hAnsiTheme="minorEastAsia" w:cstheme="minorEastAsia"/>
          <w:b/>
          <w:bCs/>
          <w:color w:val="333333"/>
          <w:shd w:val="clear" w:color="auto" w:fill="FFFFFF"/>
        </w:rPr>
        <w:t>6、招标文件构成</w:t>
      </w:r>
      <w:bookmarkEnd w:id="60"/>
      <w:bookmarkEnd w:id="61"/>
      <w:bookmarkEnd w:id="62"/>
    </w:p>
    <w:p w14:paraId="16B706B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6.1 招标文件由以下部分组成：</w:t>
      </w:r>
    </w:p>
    <w:p w14:paraId="29303531">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（1）招标公告</w:t>
      </w:r>
    </w:p>
    <w:p w14:paraId="06342C92">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（2）投标人须知</w:t>
      </w:r>
    </w:p>
    <w:p w14:paraId="718A0D3D">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（3）合同文本</w:t>
      </w:r>
    </w:p>
    <w:p w14:paraId="6A917582">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（4）采购需求</w:t>
      </w:r>
    </w:p>
    <w:p w14:paraId="3943D153">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（5）评标方法与评标标准</w:t>
      </w:r>
    </w:p>
    <w:p w14:paraId="523BD246">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（6）投标文件格式</w:t>
      </w:r>
    </w:p>
    <w:p w14:paraId="53158F59">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请仔细检查招标文件是否齐全，如有缺漏请立即与代理机构联系解决。</w:t>
      </w:r>
    </w:p>
    <w:p w14:paraId="6F05062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2C75AC2">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63" w:name="_Toc20823283"/>
      <w:bookmarkStart w:id="64" w:name="_Toc16938527"/>
      <w:bookmarkStart w:id="65" w:name="_Toc462564070"/>
      <w:bookmarkStart w:id="66" w:name="_Toc513029211"/>
      <w:r>
        <w:rPr>
          <w:rFonts w:hint="eastAsia" w:asciiTheme="minorEastAsia" w:hAnsiTheme="minorEastAsia" w:cstheme="minorEastAsia"/>
          <w:b/>
          <w:bCs/>
          <w:color w:val="333333"/>
          <w:shd w:val="clear" w:color="auto" w:fill="FFFFFF"/>
        </w:rPr>
        <w:t>7、招标文件的澄清</w:t>
      </w:r>
      <w:bookmarkEnd w:id="63"/>
      <w:bookmarkEnd w:id="64"/>
      <w:bookmarkEnd w:id="65"/>
      <w:bookmarkEnd w:id="66"/>
    </w:p>
    <w:p w14:paraId="4D0AB0F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7.1任何要求对招标文件进行澄清的投标人，应在投标截止期十日前按招标公告中的通讯地址，以书面形式通知采购代理机构。</w:t>
      </w:r>
    </w:p>
    <w:p w14:paraId="5EB29D98">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67" w:name="_Toc16938528"/>
      <w:bookmarkStart w:id="68" w:name="_Toc462564071"/>
      <w:bookmarkStart w:id="69" w:name="_Toc513029212"/>
      <w:bookmarkStart w:id="70" w:name="_Toc20823284"/>
      <w:r>
        <w:rPr>
          <w:rFonts w:hint="eastAsia" w:asciiTheme="minorEastAsia" w:hAnsiTheme="minorEastAsia" w:cstheme="minorEastAsia"/>
          <w:b/>
          <w:bCs/>
          <w:color w:val="333333"/>
          <w:shd w:val="clear" w:color="auto" w:fill="FFFFFF"/>
        </w:rPr>
        <w:t>8、招标文件的修改</w:t>
      </w:r>
      <w:bookmarkEnd w:id="67"/>
      <w:bookmarkEnd w:id="68"/>
      <w:bookmarkEnd w:id="69"/>
      <w:bookmarkEnd w:id="70"/>
    </w:p>
    <w:p w14:paraId="7DEE1597">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8.1在投标截止时间前，采购人可以对招标文件进行修改。</w:t>
      </w:r>
    </w:p>
    <w:p w14:paraId="450448D2">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8.2采购人有权按照法定的要求推迟投标截止日期和开标日期。</w:t>
      </w:r>
    </w:p>
    <w:p w14:paraId="0545D2C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8.3招标文件的修改将在中国政府采购网、江苏政府采购网、盐城市政府采购网公布，补充文件将作为招标文件的组成部分，并对投标人具有约束力。</w:t>
      </w:r>
    </w:p>
    <w:p w14:paraId="6C5395AD">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71" w:name="_Toc16938529"/>
      <w:bookmarkStart w:id="72" w:name="_Toc462564072"/>
      <w:bookmarkStart w:id="73" w:name="_Toc120614216"/>
      <w:bookmarkStart w:id="74" w:name="_Toc20823285"/>
      <w:bookmarkStart w:id="75" w:name="_Toc513029213"/>
      <w:r>
        <w:rPr>
          <w:rFonts w:hint="eastAsia" w:asciiTheme="minorEastAsia" w:hAnsiTheme="minorEastAsia" w:cstheme="minorEastAsia"/>
          <w:b/>
          <w:bCs/>
          <w:color w:val="333333"/>
          <w:shd w:val="clear" w:color="auto" w:fill="FFFFFF"/>
        </w:rPr>
        <w:t>三、投标文件的编制</w:t>
      </w:r>
      <w:bookmarkEnd w:id="71"/>
      <w:bookmarkEnd w:id="72"/>
      <w:bookmarkEnd w:id="73"/>
      <w:bookmarkEnd w:id="74"/>
      <w:bookmarkEnd w:id="75"/>
    </w:p>
    <w:p w14:paraId="32498A60">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76" w:name="_Toc462564073"/>
      <w:bookmarkStart w:id="77" w:name="_Toc513029214"/>
      <w:bookmarkStart w:id="78" w:name="_Toc20823286"/>
      <w:bookmarkStart w:id="79" w:name="_Toc16938530"/>
      <w:r>
        <w:rPr>
          <w:rFonts w:hint="eastAsia" w:asciiTheme="minorEastAsia" w:hAnsiTheme="minorEastAsia" w:cstheme="minorEastAsia"/>
          <w:b/>
          <w:bCs/>
          <w:color w:val="333333"/>
          <w:shd w:val="clear" w:color="auto" w:fill="FFFFFF"/>
        </w:rPr>
        <w:t>9、投标文件的语言及度量衡单位</w:t>
      </w:r>
      <w:bookmarkEnd w:id="76"/>
      <w:bookmarkEnd w:id="77"/>
      <w:bookmarkEnd w:id="78"/>
      <w:bookmarkEnd w:id="79"/>
    </w:p>
    <w:p w14:paraId="71EF4FC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9.1投标人提交的投标文件以及投标人与采购代理机构就有关投标的所有来往通知、函件和文件均应使用简体中文。</w:t>
      </w:r>
    </w:p>
    <w:p w14:paraId="3576780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9.2除技术性能另有规定外，投标文件所使用的度量衡单位，均须采用国家法定计量单位。</w:t>
      </w:r>
    </w:p>
    <w:p w14:paraId="141EC106">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80" w:name="_Toc20823287"/>
      <w:bookmarkStart w:id="81" w:name="_Toc462564074"/>
      <w:bookmarkStart w:id="82" w:name="_Toc16938531"/>
      <w:bookmarkStart w:id="83" w:name="_Toc513029215"/>
      <w:r>
        <w:rPr>
          <w:rFonts w:hint="eastAsia" w:asciiTheme="minorEastAsia" w:hAnsiTheme="minorEastAsia" w:cstheme="minorEastAsia"/>
          <w:b/>
          <w:bCs/>
          <w:color w:val="333333"/>
          <w:shd w:val="clear" w:color="auto" w:fill="FFFFFF"/>
        </w:rPr>
        <w:t>10、投标文件构成</w:t>
      </w:r>
      <w:bookmarkEnd w:id="80"/>
      <w:bookmarkEnd w:id="81"/>
      <w:bookmarkEnd w:id="82"/>
      <w:bookmarkEnd w:id="83"/>
    </w:p>
    <w:p w14:paraId="315E21C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10.1投标人编写的投标文件应包括资格证明文件、符合性证明文件、投标分项报价表、技术要求响应及偏离表、商务要求响应及偏离表、其他证明文件、投标函、开标一览表等部分。</w:t>
      </w:r>
    </w:p>
    <w:p w14:paraId="0FD1E08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10.2如标书制作工具中格式和内容与“中国政府采购网”、“江苏政府采购网”、“盐城市政府采购网”发布的招标文件不一致，请以“中国政府采购网”、“江苏政府采购网”、“盐城市政府采购网”发布的招标文件为准。</w:t>
      </w:r>
    </w:p>
    <w:p w14:paraId="0B916E6F">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84" w:name="_Toc49090509"/>
      <w:bookmarkStart w:id="85" w:name="_Toc513029216"/>
      <w:bookmarkStart w:id="86" w:name="_Toc14577354"/>
      <w:bookmarkStart w:id="87" w:name="_Toc513029219"/>
      <w:bookmarkStart w:id="88" w:name="_Toc14577357"/>
      <w:bookmarkStart w:id="89" w:name="_Toc49090507"/>
      <w:bookmarkStart w:id="90" w:name="_Hlt26668975"/>
      <w:bookmarkStart w:id="91" w:name="_Hlt26670360"/>
      <w:bookmarkStart w:id="92" w:name="_Hlt26954838"/>
      <w:r>
        <w:rPr>
          <w:rFonts w:hint="eastAsia" w:asciiTheme="minorEastAsia" w:hAnsiTheme="minorEastAsia" w:cstheme="minorEastAsia"/>
          <w:b/>
          <w:bCs/>
          <w:color w:val="333333"/>
          <w:shd w:val="clear" w:color="auto" w:fill="FFFFFF"/>
        </w:rPr>
        <w:t>11、证明投标人及投标标的符合招标文件规定的文件</w:t>
      </w:r>
      <w:bookmarkEnd w:id="84"/>
      <w:bookmarkEnd w:id="85"/>
      <w:bookmarkEnd w:id="86"/>
      <w:bookmarkEnd w:id="87"/>
      <w:bookmarkEnd w:id="88"/>
      <w:bookmarkEnd w:id="89"/>
    </w:p>
    <w:p w14:paraId="51ABFF33">
      <w:pPr>
        <w:pStyle w:val="13"/>
        <w:spacing w:beforeAutospacing="0" w:afterAutospacing="0" w:line="360" w:lineRule="auto"/>
        <w:ind w:firstLine="480"/>
        <w:jc w:val="both"/>
        <w:rPr>
          <w:rFonts w:asciiTheme="minorEastAsia" w:hAnsiTheme="minorEastAsia" w:cstheme="minorEastAsia"/>
          <w:color w:val="333333"/>
          <w:shd w:val="clear" w:color="auto" w:fill="FFFFFF"/>
        </w:rPr>
      </w:pPr>
      <w:bookmarkStart w:id="93" w:name="_Toc49090508"/>
      <w:bookmarkStart w:id="94" w:name="_Toc14577355"/>
      <w:r>
        <w:rPr>
          <w:rFonts w:hint="eastAsia" w:asciiTheme="minorEastAsia" w:hAnsiTheme="minorEastAsia" w:cstheme="minorEastAsia"/>
          <w:color w:val="333333"/>
          <w:shd w:val="clear" w:color="auto" w:fill="FFFFFF"/>
        </w:rPr>
        <w:t>11.1投标人应按照法律、法规、规章和规范性文件以及招标文件要求提交证明文件，证明其及投标标的符合招标文件规定。</w:t>
      </w:r>
      <w:bookmarkEnd w:id="93"/>
      <w:bookmarkEnd w:id="94"/>
    </w:p>
    <w:p w14:paraId="0DA3D291">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11.2招标文件对证明文件无明确形式要求的，证明文件可以以文字资料、图纸和数据等形式提交。</w:t>
      </w:r>
    </w:p>
    <w:p w14:paraId="2F8D31CE">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12、投标分项报价</w:t>
      </w:r>
      <w:bookmarkStart w:id="95" w:name="_Hlt26670373"/>
      <w:r>
        <w:rPr>
          <w:rFonts w:hint="eastAsia" w:asciiTheme="minorEastAsia" w:hAnsiTheme="minorEastAsia" w:cstheme="minorEastAsia"/>
          <w:b/>
          <w:bCs/>
          <w:color w:val="333333"/>
          <w:shd w:val="clear" w:color="auto" w:fill="FFFFFF"/>
        </w:rPr>
        <w:t>表</w:t>
      </w:r>
    </w:p>
    <w:p w14:paraId="217482A9">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12.1投</w:t>
      </w:r>
      <w:bookmarkStart w:id="96" w:name="_Hlt26954840"/>
      <w:r>
        <w:rPr>
          <w:rFonts w:hint="eastAsia" w:asciiTheme="minorEastAsia" w:hAnsiTheme="minorEastAsia" w:cstheme="minorEastAsia"/>
          <w:color w:val="333333"/>
          <w:shd w:val="clear" w:color="auto" w:fill="FFFFFF"/>
        </w:rPr>
        <w:t>标人应按照招标文件规定格式填报投标分项报价表</w:t>
      </w:r>
      <w:bookmarkStart w:id="97" w:name="_Hlt26670399"/>
      <w:r>
        <w:rPr>
          <w:rFonts w:hint="eastAsia" w:asciiTheme="minorEastAsia" w:hAnsiTheme="minorEastAsia" w:cstheme="minorEastAsia"/>
          <w:color w:val="333333"/>
          <w:shd w:val="clear" w:color="auto" w:fill="FFFFFF"/>
        </w:rPr>
        <w:t>。</w:t>
      </w:r>
    </w:p>
    <w:p w14:paraId="39FE334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12.2投标货币。投标文件中的单价和总价无特殊规定的采用人民币报价，以元为单位标注。招标文件中另有规定的按规定执行。</w:t>
      </w:r>
    </w:p>
    <w:p w14:paraId="3A7BB6D0">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98" w:name="_Hlt26670482"/>
      <w:bookmarkStart w:id="99" w:name="_Hlt26670486"/>
      <w:bookmarkStart w:id="100" w:name="_Hlt26954848"/>
      <w:bookmarkStart w:id="101" w:name="_Hlt26670403"/>
      <w:bookmarkStart w:id="102" w:name="_Hlt26954842"/>
      <w:bookmarkStart w:id="103" w:name="_Hlt26954731"/>
      <w:bookmarkStart w:id="104" w:name="_Hlt26668983"/>
      <w:bookmarkStart w:id="105" w:name="_Hlt26670425"/>
      <w:bookmarkStart w:id="106" w:name="_Hlt26954846"/>
      <w:bookmarkStart w:id="107" w:name="_Hlt26954844"/>
      <w:r>
        <w:rPr>
          <w:rFonts w:hint="eastAsia" w:asciiTheme="minorEastAsia" w:hAnsiTheme="minorEastAsia" w:cstheme="minorEastAsia"/>
          <w:b/>
          <w:bCs/>
          <w:color w:val="333333"/>
          <w:shd w:val="clear" w:color="auto" w:fill="FFFFFF"/>
        </w:rPr>
        <w:t>13、技术要求响应及偏离表、商务要求响应及偏离表</w:t>
      </w:r>
    </w:p>
    <w:p w14:paraId="183C8E9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13.1投标人需对招标文件中的技术要求与商务要求逐项作出响应或偏离，并说明原因。</w:t>
      </w:r>
    </w:p>
    <w:p w14:paraId="7D6B664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13.2投标人可在投标文件中提供认为需要的其他技术文件或说明。</w:t>
      </w:r>
    </w:p>
    <w:p w14:paraId="5FB19669">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108" w:name="_Toc49090510"/>
      <w:bookmarkStart w:id="109" w:name="_Toc14577359"/>
      <w:r>
        <w:rPr>
          <w:rFonts w:hint="eastAsia" w:asciiTheme="minorEastAsia" w:hAnsiTheme="minorEastAsia" w:cstheme="minorEastAsia"/>
          <w:b/>
          <w:bCs/>
          <w:color w:val="333333"/>
          <w:shd w:val="clear" w:color="auto" w:fill="FFFFFF"/>
        </w:rPr>
        <w:t>14、投标函和开标一览表</w:t>
      </w:r>
      <w:bookmarkEnd w:id="108"/>
      <w:bookmarkEnd w:id="109"/>
    </w:p>
    <w:p w14:paraId="348708C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14.1投标人应按照招标文件中提供的格式完整、正确填写投标函、开标一览表。</w:t>
      </w:r>
    </w:p>
    <w:p w14:paraId="4E4B65F6">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14.2对于采用货币报价的项目，开标一览表中的投标总报价应与投标分项报价表中的投标总报价一致，如不一致，不作为无效投标处理，但评标时按开标一览表中价格为准。</w:t>
      </w:r>
    </w:p>
    <w:p w14:paraId="43219ACF">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110" w:name="_Toc49090511"/>
      <w:bookmarkStart w:id="111" w:name="_Toc14577360"/>
      <w:bookmarkStart w:id="112" w:name="_Hlt26954734"/>
      <w:bookmarkStart w:id="113" w:name="_Hlt26670489"/>
      <w:bookmarkStart w:id="114" w:name="_Hlt26954850"/>
      <w:r>
        <w:rPr>
          <w:rFonts w:hint="eastAsia" w:asciiTheme="minorEastAsia" w:hAnsiTheme="minorEastAsia" w:cstheme="minorEastAsia"/>
          <w:b/>
          <w:bCs/>
          <w:color w:val="333333"/>
          <w:shd w:val="clear" w:color="auto" w:fill="FFFFFF"/>
        </w:rPr>
        <w:t>15、投标有效期</w:t>
      </w:r>
      <w:bookmarkEnd w:id="110"/>
      <w:bookmarkEnd w:id="111"/>
    </w:p>
    <w:p w14:paraId="50FCFD3E">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15.1投标有效期为采购人规定的开标之日后六十（60）天。投标有效期比规定短的将被视为未实质性响应招标文件而予以拒绝。</w:t>
      </w:r>
    </w:p>
    <w:p w14:paraId="2F8C121F">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16、投标有效期的延长</w:t>
      </w:r>
    </w:p>
    <w:p w14:paraId="21CA8453">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7241C585">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115" w:name="_Toc20823296"/>
      <w:bookmarkStart w:id="116" w:name="_Toc16938540"/>
      <w:bookmarkStart w:id="117" w:name="_Toc120614217"/>
      <w:bookmarkStart w:id="118" w:name="_Toc513029224"/>
      <w:bookmarkStart w:id="119" w:name="_Hlt26954739"/>
      <w:bookmarkStart w:id="120" w:name="_Hlt26954852"/>
      <w:r>
        <w:rPr>
          <w:rFonts w:hint="eastAsia" w:asciiTheme="minorEastAsia" w:hAnsiTheme="minorEastAsia" w:cstheme="minorEastAsia"/>
          <w:b/>
          <w:bCs/>
          <w:color w:val="333333"/>
          <w:shd w:val="clear" w:color="auto" w:fill="FFFFFF"/>
        </w:rPr>
        <w:t>四、投标文件的递交</w:t>
      </w:r>
      <w:bookmarkEnd w:id="115"/>
      <w:bookmarkEnd w:id="116"/>
      <w:bookmarkEnd w:id="117"/>
      <w:bookmarkEnd w:id="118"/>
    </w:p>
    <w:p w14:paraId="298E79EB">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121" w:name="_Toc462564084"/>
      <w:bookmarkStart w:id="122" w:name="_Toc20823297"/>
      <w:bookmarkStart w:id="123" w:name="_Toc16938541"/>
      <w:bookmarkStart w:id="124" w:name="_Toc513029225"/>
      <w:r>
        <w:rPr>
          <w:rFonts w:hint="eastAsia" w:asciiTheme="minorEastAsia" w:hAnsiTheme="minorEastAsia" w:cstheme="minorEastAsia"/>
          <w:b/>
          <w:bCs/>
          <w:color w:val="333333"/>
          <w:shd w:val="clear" w:color="auto" w:fill="FFFFFF"/>
        </w:rPr>
        <w:t>17、投标文件</w:t>
      </w:r>
      <w:bookmarkEnd w:id="121"/>
      <w:bookmarkEnd w:id="122"/>
      <w:bookmarkEnd w:id="123"/>
      <w:bookmarkEnd w:id="124"/>
      <w:r>
        <w:rPr>
          <w:rFonts w:hint="eastAsia" w:asciiTheme="minorEastAsia" w:hAnsiTheme="minorEastAsia" w:cstheme="minorEastAsia"/>
          <w:b/>
          <w:bCs/>
          <w:color w:val="333333"/>
          <w:shd w:val="clear" w:color="auto" w:fill="FFFFFF"/>
        </w:rPr>
        <w:t>的递交</w:t>
      </w:r>
    </w:p>
    <w:p w14:paraId="1B9FC34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17.1 电子投标文件的递交</w:t>
      </w:r>
    </w:p>
    <w:p w14:paraId="78F4F296">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投标人应当按照《操作手册》规定，在投标截止时间前制作并上传电子投标文件。</w:t>
      </w:r>
      <w:bookmarkStart w:id="125" w:name="_Toc20823298"/>
      <w:bookmarkEnd w:id="125"/>
      <w:bookmarkStart w:id="126" w:name="_Toc16938542"/>
      <w:bookmarkEnd w:id="126"/>
      <w:bookmarkStart w:id="127" w:name="_Toc513029226"/>
    </w:p>
    <w:p w14:paraId="2FC4214D">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18、投标截止时间</w:t>
      </w:r>
    </w:p>
    <w:p w14:paraId="733BAC5B">
      <w:pPr>
        <w:pStyle w:val="13"/>
        <w:spacing w:beforeAutospacing="0" w:afterAutospacing="0" w:line="360" w:lineRule="auto"/>
        <w:ind w:firstLine="480"/>
        <w:jc w:val="both"/>
        <w:rPr>
          <w:rFonts w:asciiTheme="minorEastAsia" w:hAnsiTheme="minorEastAsia" w:cstheme="minorEastAsia"/>
          <w:i/>
          <w:iCs/>
          <w:color w:val="333333"/>
          <w:u w:val="single"/>
          <w:shd w:val="clear" w:color="auto" w:fill="FFFFFF"/>
        </w:rPr>
      </w:pPr>
      <w:r>
        <w:rPr>
          <w:rFonts w:hint="eastAsia" w:asciiTheme="minorEastAsia" w:hAnsiTheme="minorEastAsia" w:cstheme="minorEastAsia"/>
          <w:i/>
          <w:iCs/>
          <w:color w:val="333333"/>
          <w:u w:val="single"/>
          <w:shd w:val="clear" w:color="auto" w:fill="FFFFFF"/>
        </w:rPr>
        <w:t>18.1投标人上传电子投标文件的时间不得迟于招标公告中规定的投标截止时间。</w:t>
      </w:r>
    </w:p>
    <w:p w14:paraId="263DD4C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投标人应充分考虑到网络环境、网络带宽等风险因素，如因投标人自身原因造成的电子投标文件上传不成功的按照本招标文件第二章第26.1.2条 规定做无效投标处理。</w:t>
      </w:r>
    </w:p>
    <w:p w14:paraId="1F2D6F3E">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18.2采购人可以按照规定，通过修改招标文件酌情延长投标截止时间，在此情况下，投标人的所有权利和义务以及投标人受制的截止时间均应以延长后新的截止时间为准。</w:t>
      </w:r>
    </w:p>
    <w:p w14:paraId="1DEA89C0">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128" w:name="_Toc20823299"/>
      <w:bookmarkStart w:id="129" w:name="_Toc513029227"/>
      <w:bookmarkStart w:id="130" w:name="_Toc16938543"/>
      <w:r>
        <w:rPr>
          <w:rFonts w:hint="eastAsia" w:asciiTheme="minorEastAsia" w:hAnsiTheme="minorEastAsia" w:cstheme="minorEastAsia"/>
          <w:b/>
          <w:bCs/>
          <w:color w:val="333333"/>
          <w:shd w:val="clear" w:color="auto" w:fill="FFFFFF"/>
        </w:rPr>
        <w:t>19、投标文件</w:t>
      </w:r>
      <w:bookmarkEnd w:id="128"/>
      <w:bookmarkEnd w:id="129"/>
      <w:bookmarkEnd w:id="130"/>
      <w:r>
        <w:rPr>
          <w:rFonts w:hint="eastAsia" w:asciiTheme="minorEastAsia" w:hAnsiTheme="minorEastAsia" w:cstheme="minorEastAsia"/>
          <w:b/>
          <w:bCs/>
          <w:color w:val="333333"/>
          <w:shd w:val="clear" w:color="auto" w:fill="FFFFFF"/>
        </w:rPr>
        <w:t>的拒收</w:t>
      </w:r>
    </w:p>
    <w:p w14:paraId="0EB6A3A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19.1采购代理机构拒绝接收在其规定的投标截止时间后上传的任何投标文件。</w:t>
      </w:r>
    </w:p>
    <w:p w14:paraId="6393C993">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131" w:name="_Toc16938544"/>
      <w:bookmarkStart w:id="132" w:name="_Toc20823300"/>
      <w:bookmarkStart w:id="133" w:name="_Toc513029228"/>
      <w:r>
        <w:rPr>
          <w:rFonts w:hint="eastAsia" w:asciiTheme="minorEastAsia" w:hAnsiTheme="minorEastAsia" w:cstheme="minorEastAsia"/>
          <w:b/>
          <w:bCs/>
          <w:color w:val="333333"/>
          <w:shd w:val="clear" w:color="auto" w:fill="FFFFFF"/>
        </w:rPr>
        <w:t>20、投标文件的撤回和修改</w:t>
      </w:r>
      <w:bookmarkEnd w:id="131"/>
      <w:bookmarkEnd w:id="132"/>
      <w:bookmarkEnd w:id="133"/>
    </w:p>
    <w:p w14:paraId="6843114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20.1投标文件的撤回</w:t>
      </w:r>
    </w:p>
    <w:p w14:paraId="47F3B88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21.1.1电子投标文件的撤回</w:t>
      </w:r>
    </w:p>
    <w:p w14:paraId="61E2B96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投标人可在投标截止时间前，撤回其电子投标文件，具体操作方法见《操作手册》。</w:t>
      </w:r>
    </w:p>
    <w:p w14:paraId="1096010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21.1.2投标人撤回电子投标文件，则认为其不再参与本项目投标活动。</w:t>
      </w:r>
    </w:p>
    <w:p w14:paraId="18361AC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20.2 投标文件的修改</w:t>
      </w:r>
    </w:p>
    <w:p w14:paraId="0CAB865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20.2.1投标人可在投标截止时间前，对其电子投标文件进行修改，具体操作方法见《操作手册》。</w:t>
      </w:r>
    </w:p>
    <w:p w14:paraId="7A814171">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20.2.2在投标截止时间之后，投标人不得对其电子投标文件作任何修改。</w:t>
      </w:r>
    </w:p>
    <w:p w14:paraId="0CDCBB71">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20.3在投标截止时间至招标文件中规定的投标有效期满之间的这段时间内，投标人不得撤回其投标。</w:t>
      </w:r>
    </w:p>
    <w:p w14:paraId="36CBDDA2">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134" w:name="_Toc16938545"/>
      <w:bookmarkStart w:id="135" w:name="_Toc513029229"/>
      <w:bookmarkStart w:id="136" w:name="_Toc20823301"/>
      <w:bookmarkStart w:id="137" w:name="_Toc120614218"/>
      <w:r>
        <w:rPr>
          <w:rFonts w:hint="eastAsia" w:asciiTheme="minorEastAsia" w:hAnsiTheme="minorEastAsia" w:cstheme="minorEastAsia"/>
          <w:b/>
          <w:bCs/>
          <w:color w:val="333333"/>
          <w:shd w:val="clear" w:color="auto" w:fill="FFFFFF"/>
        </w:rPr>
        <w:t>五、开标与评标</w:t>
      </w:r>
      <w:bookmarkEnd w:id="134"/>
      <w:bookmarkEnd w:id="135"/>
      <w:bookmarkEnd w:id="136"/>
      <w:bookmarkEnd w:id="137"/>
    </w:p>
    <w:p w14:paraId="59DBEBF0">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138" w:name="_Toc20823302"/>
      <w:bookmarkStart w:id="139" w:name="_Toc513029230"/>
      <w:bookmarkStart w:id="140" w:name="_Toc16938546"/>
      <w:r>
        <w:rPr>
          <w:rFonts w:hint="eastAsia" w:asciiTheme="minorEastAsia" w:hAnsiTheme="minorEastAsia" w:cstheme="minorEastAsia"/>
          <w:b/>
          <w:bCs/>
          <w:color w:val="333333"/>
          <w:shd w:val="clear" w:color="auto" w:fill="FFFFFF"/>
        </w:rPr>
        <w:t>21、开标</w:t>
      </w:r>
      <w:bookmarkEnd w:id="138"/>
      <w:bookmarkEnd w:id="139"/>
      <w:bookmarkEnd w:id="140"/>
    </w:p>
    <w:p w14:paraId="31E0CF3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21.1采购代理机构将在招标公告中规定的时间和地点组织公开开标。投标人应当按照《操作手册》规定，参加开标活动和在苏采云系统规定的时间内对投标文件进行解密。</w:t>
      </w:r>
    </w:p>
    <w:p w14:paraId="20C368DC">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21.2开标仪式由采购代理机构组织。苏采云系统将自动对项目进行开标，并宣布各投标人名称和投标价格。</w:t>
      </w:r>
    </w:p>
    <w:p w14:paraId="2480D75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21.3投标人在开标过程中涉及到的投标文件解密、开标结果确认等工作，应按照《操作手册》规定执行。</w:t>
      </w:r>
    </w:p>
    <w:p w14:paraId="0184F65C">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21.4投标人如果对开标过程和开标记录有疑义，应当根据《操作手册》规定提出，如苏采云系统中《开标记录表》宣布后5分钟内未提出的，视同认可开标结果。</w:t>
      </w:r>
    </w:p>
    <w:p w14:paraId="1366B56B">
      <w:pPr>
        <w:pStyle w:val="13"/>
        <w:spacing w:beforeAutospacing="0" w:afterAutospacing="0" w:line="360" w:lineRule="auto"/>
        <w:ind w:firstLine="480"/>
        <w:jc w:val="both"/>
        <w:rPr>
          <w:rFonts w:asciiTheme="minorEastAsia" w:hAnsiTheme="minorEastAsia" w:cstheme="minorEastAsia"/>
          <w:color w:val="333333"/>
          <w:shd w:val="clear" w:color="auto" w:fill="FFFFFF"/>
        </w:rPr>
      </w:pPr>
      <w:bookmarkStart w:id="141" w:name="_Toc16938547"/>
      <w:bookmarkStart w:id="142" w:name="_Toc513029231"/>
      <w:bookmarkStart w:id="143" w:name="_Toc20823303"/>
      <w:r>
        <w:rPr>
          <w:rFonts w:hint="eastAsia" w:asciiTheme="minorEastAsia" w:hAnsiTheme="minorEastAsia" w:cstheme="minorEastAsia"/>
          <w:color w:val="333333"/>
          <w:shd w:val="clear" w:color="auto" w:fill="FFFFFF"/>
        </w:rPr>
        <w:t>22、评标委员会</w:t>
      </w:r>
      <w:bookmarkEnd w:id="141"/>
      <w:bookmarkEnd w:id="142"/>
      <w:bookmarkEnd w:id="143"/>
    </w:p>
    <w:p w14:paraId="0D4B3C88">
      <w:pPr>
        <w:pStyle w:val="13"/>
        <w:spacing w:beforeAutospacing="0" w:afterAutospacing="0" w:line="360" w:lineRule="auto"/>
        <w:ind w:firstLine="480" w:firstLineChars="20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22.1开标后，采购代理机构将立即组织评标委员会（以下简称评委会）进行评标。</w:t>
      </w:r>
    </w:p>
    <w:p w14:paraId="069DA219">
      <w:pPr>
        <w:pStyle w:val="13"/>
        <w:spacing w:beforeAutospacing="0" w:afterAutospacing="0" w:line="360" w:lineRule="auto"/>
        <w:ind w:firstLine="480" w:firstLineChars="20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22.2评委会由采购人代表和有关技术、经济等方面的专家组成，且人员构成符合政府采购有关规定。</w:t>
      </w:r>
    </w:p>
    <w:p w14:paraId="26E8A208">
      <w:pPr>
        <w:pStyle w:val="13"/>
        <w:spacing w:beforeAutospacing="0" w:afterAutospacing="0" w:line="360" w:lineRule="auto"/>
        <w:ind w:firstLine="480" w:firstLineChars="20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22.3评委会独立工作，负责评审所有投标文件并确定中标侯选人。</w:t>
      </w:r>
    </w:p>
    <w:p w14:paraId="1C6C57A8">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23、评标过程的保密与公正</w:t>
      </w:r>
    </w:p>
    <w:p w14:paraId="7AB91B0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23.1凡是与审查、澄清、评价和比较投标的有关资料以及授标建议等，采购人、评委、采购代理机构均不得向投标人或与评标无关的其他人员透露。</w:t>
      </w:r>
    </w:p>
    <w:p w14:paraId="0485903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23.2在评标过程中，投标人不得以任何行为影响评标过程，否则其投标文件将被作为无效投标文件。</w:t>
      </w:r>
    </w:p>
    <w:p w14:paraId="0A78507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23.3采购代理机构和评标委员会不向未中标的投标人解释未中标原因，也不公布评标过程中的相关细节。</w:t>
      </w:r>
    </w:p>
    <w:p w14:paraId="63ACEB5E">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23.4采用综合评分法的项目，未中标的投标人可于中标结果公告期限届满之日起通过苏采云系统查看自己的评审得分及排序情况。</w:t>
      </w:r>
    </w:p>
    <w:p w14:paraId="01040051">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144" w:name="_Toc16938548"/>
      <w:bookmarkStart w:id="145" w:name="_Toc20823304"/>
      <w:bookmarkStart w:id="146" w:name="_Toc513029232"/>
      <w:r>
        <w:rPr>
          <w:rFonts w:hint="eastAsia" w:asciiTheme="minorEastAsia" w:hAnsiTheme="minorEastAsia" w:cstheme="minorEastAsia"/>
          <w:b/>
          <w:bCs/>
          <w:color w:val="333333"/>
          <w:shd w:val="clear" w:color="auto" w:fill="FFFFFF"/>
        </w:rPr>
        <w:t>24、投标文件的澄清</w:t>
      </w:r>
      <w:bookmarkEnd w:id="144"/>
      <w:bookmarkEnd w:id="145"/>
      <w:bookmarkEnd w:id="146"/>
    </w:p>
    <w:p w14:paraId="3E29ACC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24.1评标期间，评委会对投标文件中含义不明确、同类问题表述不一致或者有明显文字和计算错误的内容，有权要求投标人作出必要的澄清、说明或者补正。</w:t>
      </w:r>
    </w:p>
    <w:p w14:paraId="397528C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投标人的澄清、说明或者补正不得超出投标文件的范围或者改变投标文件的实质性内容。</w:t>
      </w:r>
    </w:p>
    <w:p w14:paraId="30847037">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评标委员会并非对每个投标人都做澄清要求。</w:t>
      </w:r>
    </w:p>
    <w:p w14:paraId="7991FEB7">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1BDF61A">
      <w:pPr>
        <w:pStyle w:val="13"/>
        <w:spacing w:beforeAutospacing="0" w:afterAutospacing="0" w:line="360" w:lineRule="auto"/>
        <w:ind w:firstLine="480" w:firstLineChars="20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24.3接到评委会澄清、说明和补正要求的投标人如未按规定做出澄清、说明和补正，其风险由投标人自行承担。</w:t>
      </w:r>
    </w:p>
    <w:p w14:paraId="42CD6ED1">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147" w:name="_Toc16938549"/>
      <w:bookmarkStart w:id="148" w:name="_Toc20823305"/>
      <w:bookmarkStart w:id="149" w:name="_Toc513029233"/>
      <w:r>
        <w:rPr>
          <w:rFonts w:hint="eastAsia" w:asciiTheme="minorEastAsia" w:hAnsiTheme="minorEastAsia" w:cstheme="minorEastAsia"/>
          <w:b/>
          <w:bCs/>
          <w:color w:val="333333"/>
          <w:shd w:val="clear" w:color="auto" w:fill="FFFFFF"/>
        </w:rPr>
        <w:t>25、对投标文件的初审</w:t>
      </w:r>
      <w:bookmarkEnd w:id="147"/>
      <w:bookmarkEnd w:id="148"/>
      <w:bookmarkEnd w:id="149"/>
    </w:p>
    <w:p w14:paraId="772E020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25.1投标文件初审分为资格审查和符合性审查。</w:t>
      </w:r>
    </w:p>
    <w:p w14:paraId="03A93B8E">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25.1.1资格审查：依据法律法规和招标文件的规定，由采购人对投标文件中的资格证明文件进行审查。资格审查的结论，采购人以书面形式向评委会进行反馈。</w:t>
      </w:r>
    </w:p>
    <w:p w14:paraId="3DD1A85D">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采购人在进行资格性审查的同时，将在“信用中国”网站（www.creditchina.gov.cn）查询投标人的信用记录，以确定投标人是否具备投标资格,查询结果留存并归档。</w:t>
      </w:r>
    </w:p>
    <w:p w14:paraId="2F2F47CD">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接受联合体的项目，两个以上的自然人、法人或者其他组织组成一个联合体，以一个供应商的身份共同参加政府采购活动的,联合体成员存在不良信用记录的，视同联合体存在不良应用记录。</w:t>
      </w:r>
    </w:p>
    <w:p w14:paraId="64386C6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25.1.2符合性审查：依据招标文件的规定，由评委会从投标文件的有效性、完整性和对招标文件的响应程度进行审查，以确定是否对招标文件的实质性要求作出响应。</w:t>
      </w:r>
    </w:p>
    <w:p w14:paraId="0C50D91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25.1.3未通过资格审查或符合性审查的投标人，采购代理机构将在苏采云系统中告知未通过资格审查或符合性审查的原因，评标结束后，采购代理机构将不再告知未通过资格审查和符合性审查的原因。</w:t>
      </w:r>
    </w:p>
    <w:p w14:paraId="0F4B0473">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25.2在详细评标之前，评委会将首先审查每份投标文件是否实质性响应了招标文件的要求。实质性响应的投标应该是与招标文件要求的全部条款、条件和规格相符，没有重大偏离或保留的投标。</w:t>
      </w:r>
    </w:p>
    <w:p w14:paraId="1EA7A15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2FBA632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25.3如果投标文件实质上没有响应招标文件的要求，评委会将予以拒绝，投标人不得通过修改或撤销不合要求的偏离或保留而使其投标成为实质性响应的投标。</w:t>
      </w:r>
    </w:p>
    <w:p w14:paraId="7C6B33B7">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25.4评委会将对确定为实质性响应的投标进行进一步审核，确定其是否有计算上或累加上的算术错误，修正错误的原则如下：</w:t>
      </w:r>
    </w:p>
    <w:p w14:paraId="1FDC0158">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（1）投标文件中开标一览表内容与投标文件中相应内容不一致的，以开标一览表为准。</w:t>
      </w:r>
    </w:p>
    <w:p w14:paraId="106E821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（2）大写金额和小写金额不一致的，以大写金额为准。</w:t>
      </w:r>
    </w:p>
    <w:p w14:paraId="679514C2">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（3）单价金额小数点或者百分比有明显错位的，以开标一览表的总价为准，并修改单价。</w:t>
      </w:r>
    </w:p>
    <w:p w14:paraId="2F107BB2">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（4）总价金额与按单价汇总金额不一致的，以单价金额计算结果为准。</w:t>
      </w:r>
    </w:p>
    <w:p w14:paraId="390724C6">
      <w:pPr>
        <w:pStyle w:val="13"/>
        <w:spacing w:beforeAutospacing="0" w:afterAutospacing="0" w:line="360" w:lineRule="auto"/>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同时出现两种以上错误的，按照前款规定的顺序修正。</w:t>
      </w:r>
    </w:p>
    <w:p w14:paraId="7C54B36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25.5评委会将按上述修正错误的方法调整投标文件中的投标报价，并通过苏采云系统告知投标人，调整后的价格应对投标人具有约束力。如果投标人不接受修正后的价格，则其投标将被拒绝。</w:t>
      </w:r>
    </w:p>
    <w:p w14:paraId="7B08A487">
      <w:pPr>
        <w:pStyle w:val="13"/>
        <w:spacing w:beforeAutospacing="0" w:afterAutospacing="0" w:line="360" w:lineRule="auto"/>
        <w:ind w:firstLine="480"/>
        <w:jc w:val="both"/>
        <w:rPr>
          <w:rFonts w:asciiTheme="minorEastAsia" w:hAnsiTheme="minorEastAsia" w:cstheme="minorEastAsia"/>
          <w:color w:val="333333"/>
          <w:shd w:val="clear" w:color="auto" w:fill="FFFFFF"/>
        </w:rPr>
      </w:pPr>
      <w:bookmarkStart w:id="150" w:name="_Toc16938550"/>
      <w:bookmarkStart w:id="151" w:name="_Toc20823306"/>
      <w:bookmarkStart w:id="152" w:name="_Toc513029234"/>
      <w:r>
        <w:rPr>
          <w:rFonts w:hint="eastAsia" w:asciiTheme="minorEastAsia" w:hAnsiTheme="minorEastAsia" w:cstheme="minorEastAsia"/>
          <w:color w:val="333333"/>
          <w:shd w:val="clear" w:color="auto" w:fill="FFFFFF"/>
        </w:rPr>
        <w:t>25.6投标人在开、评标全过程中应保持通讯畅通，及时登录苏采云系统查阅、答复相关信息，并安排专人与采购代理机构及评标委员会联系。</w:t>
      </w:r>
      <w:bookmarkEnd w:id="150"/>
      <w:bookmarkEnd w:id="151"/>
      <w:bookmarkEnd w:id="152"/>
    </w:p>
    <w:p w14:paraId="59A9CC8F">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26、无效投标条款和废标条款</w:t>
      </w:r>
    </w:p>
    <w:p w14:paraId="5863D5CD">
      <w:pPr>
        <w:pStyle w:val="13"/>
        <w:spacing w:beforeAutospacing="0" w:afterAutospacing="0" w:line="360" w:lineRule="auto"/>
        <w:ind w:firstLine="480"/>
        <w:jc w:val="both"/>
        <w:rPr>
          <w:rFonts w:asciiTheme="minorEastAsia" w:hAnsiTheme="minorEastAsia" w:cstheme="minorEastAsia"/>
          <w:color w:val="333333"/>
          <w:shd w:val="clear" w:color="auto" w:fill="FFFFFF"/>
        </w:rPr>
      </w:pPr>
      <w:bookmarkStart w:id="153" w:name="_Toc513029235"/>
      <w:bookmarkStart w:id="154" w:name="_Toc20823307"/>
      <w:bookmarkStart w:id="155" w:name="_Toc16938551"/>
      <w:r>
        <w:rPr>
          <w:rFonts w:hint="eastAsia" w:asciiTheme="minorEastAsia" w:hAnsiTheme="minorEastAsia" w:cstheme="minorEastAsia"/>
          <w:color w:val="333333"/>
          <w:shd w:val="clear" w:color="auto" w:fill="FFFFFF"/>
        </w:rPr>
        <w:t>26.1无效投标条款</w:t>
      </w:r>
      <w:bookmarkEnd w:id="153"/>
      <w:bookmarkEnd w:id="154"/>
      <w:bookmarkEnd w:id="155"/>
    </w:p>
    <w:p w14:paraId="4A096B28">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26.1.1投标人在苏采云系统规定的时间内未成功解密电子投标文件的。</w:t>
      </w:r>
    </w:p>
    <w:p w14:paraId="5F73E6B6">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26.1.2投标人未按照招标文件要求上传电子投标文件的。</w:t>
      </w:r>
    </w:p>
    <w:p w14:paraId="56A6919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26.1.3同一投标人提交两个（含两个）以上不同的投标报价的。</w:t>
      </w:r>
    </w:p>
    <w:p w14:paraId="787765D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26.1.4投标人不具备招标文件中规定资格要求的。</w:t>
      </w:r>
    </w:p>
    <w:p w14:paraId="1AF484F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26.1.5投标人的报价超过了采购预算或最高限价的。</w:t>
      </w:r>
    </w:p>
    <w:p w14:paraId="064C0B32">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26.1.6未通过符合性审查的。</w:t>
      </w:r>
    </w:p>
    <w:p w14:paraId="2F2408B1">
      <w:pPr>
        <w:pStyle w:val="13"/>
        <w:spacing w:beforeAutospacing="0" w:afterAutospacing="0" w:line="360" w:lineRule="auto"/>
        <w:ind w:firstLine="480"/>
        <w:jc w:val="both"/>
        <w:rPr>
          <w:rFonts w:asciiTheme="minorEastAsia" w:hAnsiTheme="minorEastAsia" w:cstheme="minorEastAsia"/>
          <w:i/>
          <w:iCs/>
          <w:color w:val="333333"/>
          <w:u w:val="single"/>
          <w:shd w:val="clear" w:color="auto" w:fill="FFFFFF"/>
        </w:rPr>
      </w:pPr>
      <w:r>
        <w:rPr>
          <w:rFonts w:hint="eastAsia" w:asciiTheme="minorEastAsia" w:hAnsiTheme="minorEastAsia" w:cstheme="minorEastAsia"/>
          <w:color w:val="333333"/>
          <w:shd w:val="clear" w:color="auto" w:fill="FFFFFF"/>
        </w:rPr>
        <w:t>26.1.7不符合招标文件中规定的实质性要求和条件的（</w:t>
      </w:r>
      <w:r>
        <w:rPr>
          <w:rFonts w:hint="eastAsia" w:asciiTheme="minorEastAsia" w:hAnsiTheme="minorEastAsia" w:cstheme="minorEastAsia"/>
          <w:i/>
          <w:iCs/>
          <w:color w:val="333333"/>
          <w:u w:val="single"/>
          <w:shd w:val="clear" w:color="auto" w:fill="FFFFFF"/>
        </w:rPr>
        <w:t>本招标文件中斜体且有下划线部分为实质性要求和条件）。</w:t>
      </w:r>
    </w:p>
    <w:p w14:paraId="3715EB17">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77D7CF6">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26.1.9投标文件含有采购人不能接受的附加条件的。</w:t>
      </w:r>
    </w:p>
    <w:p w14:paraId="533A88B1">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26.1.10投标人不能证明其报价合理性的，评标委员会应当将其作为无效投标处理。</w:t>
      </w:r>
    </w:p>
    <w:p w14:paraId="7277F219">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（一）评审过程中出现下列情形之一的，评标委员会应当启动异常低价投标审查程序：</w:t>
      </w:r>
    </w:p>
    <w:p w14:paraId="6A4AB0F1">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1.投标报价低于采购项目预算50%的，即投标报价&lt;采购项目预算×50%；</w:t>
      </w:r>
    </w:p>
    <w:p w14:paraId="7FA396F6">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2.投标报价低于采购项目最高限价45%的，即投标报价&lt;采购项目最高限价×45%；</w:t>
      </w:r>
    </w:p>
    <w:p w14:paraId="2D4E2F7F">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3.评标委员会认定的供应商报价过低、有可能影响产品质量或者不能诚信履约的其他情形。</w:t>
      </w:r>
    </w:p>
    <w:p w14:paraId="427972B4">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55BAF827">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26.1.1</w:t>
      </w:r>
      <w:r>
        <w:rPr>
          <w:rFonts w:hint="eastAsia" w:asciiTheme="minorEastAsia" w:hAnsiTheme="minorEastAsia" w:cstheme="minorEastAsia"/>
          <w:color w:val="333333"/>
          <w:shd w:val="clear" w:color="auto" w:fill="FFFFFF"/>
          <w:lang w:val="en-US" w:eastAsia="zh-CN"/>
        </w:rPr>
        <w:t>1</w:t>
      </w:r>
      <w:r>
        <w:rPr>
          <w:rFonts w:hint="eastAsia" w:asciiTheme="minorEastAsia" w:hAnsiTheme="minorEastAsia" w:cstheme="minorEastAsia"/>
          <w:color w:val="333333"/>
          <w:shd w:val="clear" w:color="auto" w:fill="FFFFFF"/>
        </w:rPr>
        <w:t>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07DE6481">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26.1.1</w:t>
      </w:r>
      <w:r>
        <w:rPr>
          <w:rFonts w:hint="eastAsia" w:asciiTheme="minorEastAsia" w:hAnsiTheme="minorEastAsia" w:cstheme="minorEastAsia"/>
          <w:color w:val="333333"/>
          <w:shd w:val="clear" w:color="auto" w:fill="FFFFFF"/>
          <w:lang w:val="en-US" w:eastAsia="zh-CN"/>
        </w:rPr>
        <w:t>2</w:t>
      </w:r>
      <w:r>
        <w:rPr>
          <w:rFonts w:hint="eastAsia" w:asciiTheme="minorEastAsia" w:hAnsiTheme="minorEastAsia" w:cstheme="minorEastAsia"/>
          <w:color w:val="333333"/>
          <w:shd w:val="clear" w:color="auto" w:fill="FFFFFF"/>
        </w:rPr>
        <w:t>投标文件未按照招标文件要求加盖CA电子公章的。</w:t>
      </w:r>
    </w:p>
    <w:p w14:paraId="72CFEBE6">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26.1.1</w:t>
      </w:r>
      <w:r>
        <w:rPr>
          <w:rFonts w:hint="eastAsia" w:asciiTheme="minorEastAsia" w:hAnsiTheme="minorEastAsia" w:cstheme="minorEastAsia"/>
          <w:color w:val="333333"/>
          <w:shd w:val="clear" w:color="auto" w:fill="FFFFFF"/>
          <w:lang w:val="en-US" w:eastAsia="zh-CN"/>
        </w:rPr>
        <w:t>3</w:t>
      </w:r>
      <w:r>
        <w:rPr>
          <w:rFonts w:hint="eastAsia" w:asciiTheme="minorEastAsia" w:hAnsiTheme="minorEastAsia" w:cstheme="minorEastAsia"/>
          <w:color w:val="333333"/>
          <w:shd w:val="clear" w:color="auto" w:fill="FFFFFF"/>
        </w:rPr>
        <w:t>其他法律、法规及本招标文件规定的属无效投标的情形。</w:t>
      </w:r>
    </w:p>
    <w:p w14:paraId="2B2FE5F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26.2废标条款</w:t>
      </w:r>
    </w:p>
    <w:p w14:paraId="38EA2A7F">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26.2.1符合专业条件的供应商或者对招标文件作实质响应的供应商不足三家的。</w:t>
      </w:r>
    </w:p>
    <w:p w14:paraId="479690E9">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26.2.2出现影响采购公正的违法、违规行为的。</w:t>
      </w:r>
    </w:p>
    <w:p w14:paraId="489F08F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26.2.3因重大变故，采购任务取消的。</w:t>
      </w:r>
    </w:p>
    <w:p w14:paraId="7D0FE4C6">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26.2.4评标委员会认定招标文件存在歧义、重大缺陷导致评审工作无法进行。</w:t>
      </w:r>
    </w:p>
    <w:p w14:paraId="551991A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26.2.5因苏采云系统系统故障原因造成开标不成功的。</w:t>
      </w:r>
    </w:p>
    <w:p w14:paraId="71AD4BC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26.3 投标截止时间结束后参加投标的供应商不足三家的处理：</w:t>
      </w:r>
    </w:p>
    <w:p w14:paraId="22441F9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26.3.1如出现投标截止时间结束后参加投标的供应商或者在评标期间对招标文件做出实质响应的供应商不足三家情况，按政府采购相关规定执行。</w:t>
      </w:r>
    </w:p>
    <w:p w14:paraId="5B631F82">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156" w:name="_Toc120614219"/>
      <w:r>
        <w:rPr>
          <w:rFonts w:hint="eastAsia" w:asciiTheme="minorEastAsia" w:hAnsiTheme="minorEastAsia" w:cstheme="minorEastAsia"/>
          <w:b/>
          <w:bCs/>
          <w:color w:val="333333"/>
          <w:shd w:val="clear" w:color="auto" w:fill="FFFFFF"/>
        </w:rPr>
        <w:t>六、定标</w:t>
      </w:r>
      <w:bookmarkEnd w:id="156"/>
    </w:p>
    <w:p w14:paraId="0C2FFB36">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157" w:name="_Toc20823310"/>
      <w:bookmarkStart w:id="158" w:name="_Toc513029238"/>
      <w:bookmarkStart w:id="159" w:name="_Toc16938554"/>
      <w:r>
        <w:rPr>
          <w:rFonts w:hint="eastAsia" w:asciiTheme="minorEastAsia" w:hAnsiTheme="minorEastAsia" w:cstheme="minorEastAsia"/>
          <w:b/>
          <w:bCs/>
          <w:color w:val="333333"/>
          <w:shd w:val="clear" w:color="auto" w:fill="FFFFFF"/>
        </w:rPr>
        <w:t>27、</w:t>
      </w:r>
      <w:bookmarkEnd w:id="157"/>
      <w:r>
        <w:rPr>
          <w:rFonts w:hint="eastAsia" w:asciiTheme="minorEastAsia" w:hAnsiTheme="minorEastAsia" w:cstheme="minorEastAsia"/>
          <w:b/>
          <w:bCs/>
          <w:color w:val="333333"/>
          <w:shd w:val="clear" w:color="auto" w:fill="FFFFFF"/>
        </w:rPr>
        <w:t>确定</w:t>
      </w:r>
      <w:bookmarkEnd w:id="158"/>
      <w:bookmarkEnd w:id="159"/>
      <w:r>
        <w:rPr>
          <w:rFonts w:hint="eastAsia" w:asciiTheme="minorEastAsia" w:hAnsiTheme="minorEastAsia" w:cstheme="minorEastAsia"/>
          <w:b/>
          <w:bCs/>
          <w:color w:val="333333"/>
          <w:shd w:val="clear" w:color="auto" w:fill="FFFFFF"/>
        </w:rPr>
        <w:t>中标单位</w:t>
      </w:r>
    </w:p>
    <w:p w14:paraId="2DBBD5D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27.1中标候选人的选取原则和数量见招标文件第五章规定。 </w:t>
      </w:r>
    </w:p>
    <w:p w14:paraId="130AAAF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27.2采购人应根据评委会推荐的中标候选人确定中标人。</w:t>
      </w:r>
    </w:p>
    <w:p w14:paraId="1180FB83">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27.3采购代理机构将在“中国政府采购网”、“江苏政府采购网”、“盐城市政府采购网”发布中标公告，公告期限为1个工作日。</w:t>
      </w:r>
    </w:p>
    <w:p w14:paraId="0025AE8E">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27.4若有充分证据证明，中标人出现下列情况之一的，一经查实，将被取消中标资格：</w:t>
      </w:r>
    </w:p>
    <w:p w14:paraId="47D7642C">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27.4.1提供虚假材料谋取中标的。</w:t>
      </w:r>
    </w:p>
    <w:p w14:paraId="7A306BF7">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27.4.2向采购人、采购代理机构行贿或者提供其他不正当利益的。</w:t>
      </w:r>
    </w:p>
    <w:p w14:paraId="5C80EB3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27.4.3属于本文件规定的无效条件，但在评标过程中又未被评委会发现的。</w:t>
      </w:r>
    </w:p>
    <w:p w14:paraId="5F7EC197">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27.4.4与采购人或者其他供应商恶意串通的。</w:t>
      </w:r>
    </w:p>
    <w:p w14:paraId="491A25E3">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27.4.5采取不正当手段诋毁、排挤其他供应商的。</w:t>
      </w:r>
    </w:p>
    <w:p w14:paraId="31EE670A">
      <w:pPr>
        <w:pStyle w:val="13"/>
        <w:spacing w:beforeAutospacing="0" w:afterAutospacing="0" w:line="360" w:lineRule="auto"/>
        <w:ind w:firstLine="480"/>
        <w:jc w:val="both"/>
        <w:rPr>
          <w:rFonts w:asciiTheme="minorEastAsia" w:hAnsiTheme="minorEastAsia" w:cstheme="minorEastAsia"/>
          <w:color w:val="333333"/>
          <w:shd w:val="clear" w:color="auto" w:fill="FFFFFF"/>
        </w:rPr>
      </w:pPr>
      <w:bookmarkStart w:id="160" w:name="_Toc200451960"/>
      <w:r>
        <w:rPr>
          <w:rFonts w:hint="eastAsia" w:asciiTheme="minorEastAsia" w:hAnsiTheme="minorEastAsia" w:cstheme="minorEastAsia"/>
          <w:color w:val="333333"/>
          <w:shd w:val="clear" w:color="auto" w:fill="FFFFFF"/>
        </w:rPr>
        <w:t>27.5 有下列情形之一的，视为投标人串通投标，投标无效：</w:t>
      </w:r>
      <w:bookmarkEnd w:id="160"/>
    </w:p>
    <w:p w14:paraId="65BD2212">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27.5.1不同投标人的投标文件由同一单位或者个人编制。</w:t>
      </w:r>
    </w:p>
    <w:p w14:paraId="35A650CD">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27.5.2不同投标人委托同一单位或者个人办理投标事宜。</w:t>
      </w:r>
    </w:p>
    <w:p w14:paraId="5E41E59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27.5.3不同投标人的投标文件载明的项目管理成员或者联系人员为同一人。</w:t>
      </w:r>
    </w:p>
    <w:p w14:paraId="25FD87F3">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27.5.4不同投标人的投标文件异常一致或者投标报价呈规律性差异。</w:t>
      </w:r>
    </w:p>
    <w:p w14:paraId="7287FAED">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28、质疑处理</w:t>
      </w:r>
    </w:p>
    <w:p w14:paraId="2DCD0CFD">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28.1提出质疑的供应商应当是参与所质疑项目采购活动的供应商。潜在供应商依法获取其可质疑的采购文件的，可以对采购文件提出质疑。</w:t>
      </w:r>
    </w:p>
    <w:p w14:paraId="1C66E1BD">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18AE999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28.2.1对可以质疑的采购文件提出质疑的，为收到采购文件之日或者采购文件公告期限届满之日；</w:t>
      </w:r>
    </w:p>
    <w:p w14:paraId="56FB65E2">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28.2.2对采购过程提出质疑的，为各采购程序环节结束之日；</w:t>
      </w:r>
    </w:p>
    <w:p w14:paraId="4E6A333E">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28.2.3对中标或者成交结果提出质疑的，为中标或者成交结果公告期限届满之日。</w:t>
      </w:r>
    </w:p>
    <w:p w14:paraId="3F1EBB3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供应商应当在法定质疑期内一次性提出针对同一采购程序环节的质疑。供应商如在法定期限内对同一采购程序环节提出多次质疑的，采购代理机构、采购人将只对供应商第一次质疑作出答复。</w:t>
      </w:r>
    </w:p>
    <w:p w14:paraId="3BB6881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28.3质疑函必须按照本招标文件中《质疑函范本》要求的格式和内容进行填写。供应商如组成联合体参加投标，则《质疑函范本》中要求签字、盖章、加盖公章之处，联合体各方均须按要求签字、盖章、加盖公章。</w:t>
      </w:r>
    </w:p>
    <w:p w14:paraId="18A7C80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28.4供应商（含潜在供应商）对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p>
    <w:p w14:paraId="2443F95D">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采购代理机构及采购人只接收以纸质原件形式送达的质疑,采购人和采购中心代理机构不接受未填写快递运单的快件。</w:t>
      </w:r>
    </w:p>
    <w:p w14:paraId="7973C3C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采购人质疑接收人及联系方式见招标文件第一章。</w:t>
      </w:r>
    </w:p>
    <w:p w14:paraId="3AB3F5F3">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质疑人（或授权委托人）须是投标单位正式员工，授权委托人须提供投标单位为其缴纳的本年度近期社保证明。</w:t>
      </w:r>
    </w:p>
    <w:p w14:paraId="7644929E">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28.5 以下情形的质疑不予受理</w:t>
      </w:r>
    </w:p>
    <w:p w14:paraId="6972D5FD">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28.5.1内容不符合《政府采购质疑和投诉办法》第十二条规定的质疑。</w:t>
      </w:r>
    </w:p>
    <w:p w14:paraId="70B7C9E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28.5.2超出政府采购法定期限的质疑。</w:t>
      </w:r>
    </w:p>
    <w:p w14:paraId="789C0C27">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28.5.3以传真、电子邮件等方式递交的非原件形式的质疑。</w:t>
      </w:r>
    </w:p>
    <w:p w14:paraId="27433A6E">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28.5.4未参加投标活动的供应商或在投标活动中自身权益未受到损害的供应商所提出的质疑。</w:t>
      </w:r>
    </w:p>
    <w:p w14:paraId="310B54B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28.5.5供应商组成联合体参加投标，联合体中任何一方或多方未按要求签字、盖章、加盖公章的质疑。</w:t>
      </w:r>
    </w:p>
    <w:p w14:paraId="269E3AB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29E5DDEC">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29、中标通知书</w:t>
      </w:r>
    </w:p>
    <w:p w14:paraId="79300489">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AE7A707">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29.2中标通知书将是合同的一个组成部分。对采购人和中标人均具有法律效力。中标通知书发出后，采购人改变中标结果的，或者中标人放弃中标项目的，应当依法承担法律责任。</w:t>
      </w:r>
    </w:p>
    <w:p w14:paraId="45D2E139">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161" w:name="_Toc20823308"/>
      <w:bookmarkStart w:id="162" w:name="_Toc513029236"/>
      <w:bookmarkStart w:id="163" w:name="_Toc16938552"/>
      <w:bookmarkStart w:id="164" w:name="_Toc120614220"/>
      <w:r>
        <w:rPr>
          <w:rFonts w:hint="eastAsia" w:asciiTheme="minorEastAsia" w:hAnsiTheme="minorEastAsia" w:cstheme="minorEastAsia"/>
          <w:b/>
          <w:bCs/>
          <w:color w:val="333333"/>
          <w:shd w:val="clear" w:color="auto" w:fill="FFFFFF"/>
        </w:rPr>
        <w:t>七、授予合同</w:t>
      </w:r>
      <w:bookmarkEnd w:id="161"/>
      <w:bookmarkEnd w:id="162"/>
      <w:bookmarkEnd w:id="163"/>
      <w:bookmarkEnd w:id="164"/>
    </w:p>
    <w:p w14:paraId="678BB714">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165" w:name="_Toc16938553"/>
      <w:bookmarkStart w:id="166" w:name="_Toc513029237"/>
      <w:bookmarkStart w:id="167" w:name="_Toc20823309"/>
      <w:r>
        <w:rPr>
          <w:rFonts w:hint="eastAsia" w:asciiTheme="minorEastAsia" w:hAnsiTheme="minorEastAsia" w:cstheme="minorEastAsia"/>
          <w:b/>
          <w:bCs/>
          <w:color w:val="333333"/>
          <w:shd w:val="clear" w:color="auto" w:fill="FFFFFF"/>
        </w:rPr>
        <w:t>30.签订合同</w:t>
      </w:r>
      <w:bookmarkEnd w:id="165"/>
      <w:bookmarkEnd w:id="166"/>
      <w:bookmarkEnd w:id="167"/>
    </w:p>
    <w:p w14:paraId="0CC6B8C9">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30.l成交供应商应当在中标通知书发出之日起三十日内（原则上应在15日内签订采购合同），按照招标文件确定的事项与采购人签订政府采购合同。合同签订后2个工作日内合同公示。所签订的合同不得对招标文件确定的事项和中标人响应文件作实质性修改。</w:t>
      </w:r>
    </w:p>
    <w:p w14:paraId="22861F01">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30.2招标文件、中标人的投标文件及招标过程中有关澄清、承诺文件均应作为合同附件。</w:t>
      </w:r>
    </w:p>
    <w:p w14:paraId="039CA9E6">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30.3签订合同后，</w:t>
      </w:r>
      <w:r>
        <w:rPr>
          <w:rFonts w:hint="eastAsia" w:asciiTheme="minorEastAsia" w:hAnsiTheme="minorEastAsia" w:cstheme="minorEastAsia"/>
          <w:i/>
          <w:iCs/>
          <w:color w:val="333333"/>
          <w:u w:val="single"/>
          <w:shd w:val="clear" w:color="auto" w:fill="FFFFFF"/>
        </w:rPr>
        <w:t>中标人不得将合同标的进行转包。</w:t>
      </w:r>
      <w:r>
        <w:rPr>
          <w:rFonts w:hint="eastAsia" w:asciiTheme="minorEastAsia" w:hAnsiTheme="minorEastAsia" w:cstheme="minorEastAsia"/>
          <w:color w:val="333333"/>
          <w:shd w:val="clear" w:color="auto" w:fill="FFFFFF"/>
        </w:rPr>
        <w:t>未经采购人同意，中标人也不得采用分包的形式履行合同，否则采购人有权终止合同。转包或分包造成采购人损失的，中标人应承担相应赔偿责任。</w:t>
      </w:r>
    </w:p>
    <w:p w14:paraId="6F69D126">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31、服务（包含与服务相关的货物）的追加</w:t>
      </w:r>
    </w:p>
    <w:p w14:paraId="7302CC5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521EA12E">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bookmarkStart w:id="168" w:name="_Toc20823314"/>
      <w:bookmarkStart w:id="169" w:name="_Toc513029242"/>
      <w:bookmarkStart w:id="170" w:name="_Toc479757207"/>
      <w:bookmarkStart w:id="171" w:name="_Toc16938558"/>
      <w:bookmarkStart w:id="172" w:name="_Toc120614221"/>
      <w:r>
        <w:rPr>
          <w:rFonts w:hint="eastAsia" w:asciiTheme="minorEastAsia" w:hAnsiTheme="minorEastAsia" w:cstheme="minorEastAsia"/>
          <w:b/>
          <w:bCs/>
          <w:color w:val="333333"/>
          <w:shd w:val="clear" w:color="auto" w:fill="FFFFFF"/>
        </w:rPr>
        <w:t>32、政府采购履约资金扶持政策</w:t>
      </w:r>
      <w:bookmarkEnd w:id="168"/>
      <w:bookmarkEnd w:id="169"/>
      <w:bookmarkEnd w:id="170"/>
      <w:bookmarkEnd w:id="171"/>
      <w:bookmarkEnd w:id="172"/>
    </w:p>
    <w:p w14:paraId="54AA493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p>
    <w:p w14:paraId="5FAD6931">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33、招标项目需满足的政府采购政策目标和具体支持对象</w:t>
      </w:r>
    </w:p>
    <w:p w14:paraId="4D0EC24A">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33.1中小微型企业有关政策</w:t>
      </w:r>
    </w:p>
    <w:p w14:paraId="086B2439">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1）根据工信部等部委发布的《关于印发中小企业划型标准规定的通知》（工信部联企业〔2011〕300号），根据具体品目确定相应标准。符合上述条件的中小微型企业应按照招标文件中的格式要求提供《中小企业声明函》。</w:t>
      </w:r>
    </w:p>
    <w:p w14:paraId="6636AF4D">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（2）本项目为非预留份额的采购项目或采购包，执行价格扣除优惠政策，给予小微型企业、监狱企业或残疾人福利性单位报价给予 20%的扣除，用扣除后的价格参加评审。价格扣除比例对小型企业和微型企业同等对待，不作区分。</w:t>
      </w:r>
    </w:p>
    <w:p w14:paraId="0E316D95">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（3）供应商须按照采购文件要求提供相应的《企业声明函》（格式附后），不提供声明函或有弄虚作假的，将依法承担相应责任。</w:t>
      </w:r>
    </w:p>
    <w:p w14:paraId="78F5F041">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（4）根据工信部等部委发布的《关于印发中小企业划型标准规定的通知》（工信部联企业【2011】300号）文件规定自行填写，根据具体品目确定相应标准。</w:t>
      </w:r>
    </w:p>
    <w:p w14:paraId="6E34DCC5">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（5）以上规定未尽事项，按《政府采购促进中小企业发展管理办法》 （财库【2020】46号）等有关制度规定执行。</w:t>
      </w:r>
    </w:p>
    <w:p w14:paraId="45957E0C">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33.2监狱和戒毒企业</w:t>
      </w:r>
    </w:p>
    <w:p w14:paraId="333A938E">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（1）本项目对监狱和戒毒企业（简称监狱企业）视同小型、微型企业。</w:t>
      </w:r>
    </w:p>
    <w:p w14:paraId="24E2FC54">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4D8F105D">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（3）监狱企业标准请参照《关于政府采购支持监狱企业发展有关问题的通知》（财库[2014]68号）。</w:t>
      </w:r>
    </w:p>
    <w:p w14:paraId="213ADC67">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33.3残疾人福利单位、监狱企业属于小型、微型企业的，不重复享受政策。</w:t>
      </w:r>
    </w:p>
    <w:p w14:paraId="72F45746">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34、履约保证金</w:t>
      </w:r>
    </w:p>
    <w:p w14:paraId="767C1407">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34.1履约保证金缴纳</w:t>
      </w:r>
    </w:p>
    <w:p w14:paraId="2C6041F6">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34.1.1履约保证金的缴纳比例和是否缴纳由采购人与成交供应商协商确定。确需收取履约保证金的，中标后签订合同时中标方须缴纳中标金额10%的履约保证金到采购人指定账户；允许供应商自主选择以转账、支票、汇票、本票或者金融机构、担保机构出具的保函(保险)等形式提交(根据苏财购[2023]150号《关于在全省政府采购领域推行电子履约保函(保险)的通知》乙方可选择电子保函(保险)的形式)，鼓励供应商自愿使用履约保函(保险)代替缴纳约保证金。根据合同履行情况，中标单位在履约期内无违约行为的，采购人在验收合格后15日内全额退还履约保证金，不计利息。如果成交供应商不同意按照规定去做，采购方有权取消本次采购成交决定。履约保证金不予退还的情形按政府采购相关法律法规执行。</w:t>
      </w:r>
    </w:p>
    <w:p w14:paraId="4688675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34.1.2采购人对第三方信用服务机构依据标准规范评定为AA级及以上的政府采购供应商（需在签订采购合同前提供信用管理部门备案的第三方信用报告，且信用报告通过“信用盐城网”可查实），可免收履约保证金或降低履约保证金缴纳比例（缴纳中标金额的5%）。</w:t>
      </w:r>
    </w:p>
    <w:p w14:paraId="08A3EFC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34.2合同履行结束后，甲方应及时退还交纳的履约保证金。</w:t>
      </w:r>
    </w:p>
    <w:p w14:paraId="36460A7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34.3履约保证金的退还：</w:t>
      </w:r>
    </w:p>
    <w:p w14:paraId="195424B9">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34.3.1方式：无息退还至投标人缴纳履约保证金的账户。如为保函，在到期时自行失效。</w:t>
      </w:r>
    </w:p>
    <w:p w14:paraId="3D7335E1">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34.3.2时间：验收合格且采购人收到发票后30日内。</w:t>
      </w:r>
    </w:p>
    <w:p w14:paraId="3F264A5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34.3.3条件：按合同要求全部履约完成并经采购人验收合格，且采购人收到中标人出具的发票。</w:t>
      </w:r>
    </w:p>
    <w:p w14:paraId="1B3A98C6">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34.3.4不予退还情形：</w:t>
      </w:r>
    </w:p>
    <w:p w14:paraId="3CE3279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除不可抗力情况外，投标人出现下列情形之一的，其履约保证金，招标人将视情节决定不予退还或部分不予退还。</w:t>
      </w:r>
    </w:p>
    <w:p w14:paraId="79E751C2">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（1）中标人无正当理由拒绝签订合同的，或者在签订合同时向采购人提出附加条件或者更改合同实质性内容要求的；</w:t>
      </w:r>
    </w:p>
    <w:p w14:paraId="3CD2BEB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（2）中标人不履行与采购人订立的合同的；</w:t>
      </w:r>
    </w:p>
    <w:p w14:paraId="0BE9647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（3）中标人所供货物或服务不符合招标文件规定要求的；</w:t>
      </w:r>
    </w:p>
    <w:p w14:paraId="47D5C1B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（4）中标人采取欺骗、弄虚作假方式投标的或与其它投标人串通投标的；</w:t>
      </w:r>
    </w:p>
    <w:p w14:paraId="5B705A69">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（5）中标人将合同内容转包、违法分包的；</w:t>
      </w:r>
    </w:p>
    <w:p w14:paraId="19FE8B8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（6）中标人故意捏造事实或伪造证明材料，进行虚假恶意投诉或反映的。</w:t>
      </w:r>
    </w:p>
    <w:p w14:paraId="105E130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34.3.5逾期退还的违约责任：采购人逾期无故未退还履约保证金的，按中国人民银行同期贷款基准利率上浮20%后的利率支付超期资金占用费，但因供应商自身原因导致无法及时退还的除外。</w:t>
      </w:r>
    </w:p>
    <w:p w14:paraId="37709D7B">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35、落实节能、环保产品政策</w:t>
      </w:r>
    </w:p>
    <w:p w14:paraId="03B3E711">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35.1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8EF75E4">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 xml:space="preserve">36、收费 </w:t>
      </w:r>
    </w:p>
    <w:p w14:paraId="413B3D5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36.1中标服务费：本次招标代理服务费由中标单位向招标代理机构支付。中标单位须在领取中标通知书时向招标代理机构一次性付清。该费用折算在报价中，不在响应文件中单独列出。招标代理服务费按照国家收费标准收取。招标代理服务收费按差额定率累进法计算。中标金额按包（标段）分别计算，不累计。收费标准如有变动（只降低，不提高），招标代理机构可以在开标前以电子邮件回复的方式通知已报名供应商。</w:t>
      </w:r>
    </w:p>
    <w:p w14:paraId="76DD82B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36.2收费标准：本次招标的代理服务费按《江苏省招标代理服务费收费的指导意见》（苏招协【202</w:t>
      </w:r>
      <w:r>
        <w:rPr>
          <w:rFonts w:hint="eastAsia" w:asciiTheme="minorEastAsia" w:hAnsiTheme="minorEastAsia" w:cstheme="minorEastAsia"/>
          <w:color w:val="333333"/>
          <w:shd w:val="clear" w:color="auto" w:fill="FFFFFF"/>
          <w:lang w:val="en-US" w:eastAsia="zh-CN"/>
        </w:rPr>
        <w:t>2</w:t>
      </w:r>
      <w:r>
        <w:rPr>
          <w:rFonts w:hint="eastAsia" w:asciiTheme="minorEastAsia" w:hAnsiTheme="minorEastAsia" w:cstheme="minorEastAsia"/>
          <w:color w:val="333333"/>
          <w:shd w:val="clear" w:color="auto" w:fill="FFFFFF"/>
        </w:rPr>
        <w:t>】0</w:t>
      </w:r>
      <w:r>
        <w:rPr>
          <w:rFonts w:hint="eastAsia" w:asciiTheme="minorEastAsia" w:hAnsiTheme="minorEastAsia" w:cstheme="minorEastAsia"/>
          <w:color w:val="333333"/>
          <w:shd w:val="clear" w:color="auto" w:fill="FFFFFF"/>
          <w:lang w:val="en-US" w:eastAsia="zh-CN"/>
        </w:rPr>
        <w:t>02</w:t>
      </w:r>
      <w:r>
        <w:rPr>
          <w:rFonts w:hint="eastAsia" w:asciiTheme="minorEastAsia" w:hAnsiTheme="minorEastAsia" w:cstheme="minorEastAsia"/>
          <w:color w:val="333333"/>
          <w:shd w:val="clear" w:color="auto" w:fill="FFFFFF"/>
        </w:rPr>
        <w:t>号）收费标准进行计取（本项目中标服务费按本项目</w:t>
      </w:r>
      <w:r>
        <w:rPr>
          <w:rFonts w:hint="eastAsia" w:asciiTheme="minorEastAsia" w:hAnsiTheme="minorEastAsia" w:cstheme="minorEastAsia"/>
          <w:color w:val="333333"/>
          <w:shd w:val="clear" w:color="auto" w:fill="FFFFFF"/>
          <w:lang w:val="en-US" w:eastAsia="zh-CN"/>
        </w:rPr>
        <w:t>财政补贴资金：163.2万元，</w:t>
      </w:r>
      <w:r>
        <w:rPr>
          <w:rFonts w:hint="eastAsia" w:asciiTheme="minorEastAsia" w:hAnsiTheme="minorEastAsia" w:cstheme="minorEastAsia"/>
          <w:color w:val="333333"/>
          <w:shd w:val="clear" w:color="auto" w:fill="FFFFFF"/>
        </w:rPr>
        <w:t>结合收费标准进行收取）。并由中标</w:t>
      </w:r>
      <w:r>
        <w:rPr>
          <w:rFonts w:hint="eastAsia" w:asciiTheme="minorEastAsia" w:hAnsiTheme="minorEastAsia" w:cstheme="minorEastAsia"/>
          <w:color w:val="333333"/>
          <w:shd w:val="clear" w:color="auto" w:fill="FFFFFF"/>
          <w:lang w:val="en-US" w:eastAsia="zh-CN"/>
        </w:rPr>
        <w:t>单位</w:t>
      </w:r>
      <w:r>
        <w:rPr>
          <w:rFonts w:hint="eastAsia" w:asciiTheme="minorEastAsia" w:hAnsiTheme="minorEastAsia" w:cstheme="minorEastAsia"/>
          <w:color w:val="333333"/>
          <w:shd w:val="clear" w:color="auto" w:fill="FFFFFF"/>
        </w:rPr>
        <w:t>支付给</w:t>
      </w:r>
      <w:r>
        <w:rPr>
          <w:rFonts w:hint="eastAsia" w:asciiTheme="minorEastAsia" w:hAnsiTheme="minorEastAsia" w:cstheme="minorEastAsia"/>
          <w:color w:val="333333"/>
          <w:shd w:val="clear" w:color="auto" w:fill="FFFFFF"/>
          <w:lang w:val="en-US" w:eastAsia="zh-CN"/>
        </w:rPr>
        <w:t>本项目采购</w:t>
      </w:r>
      <w:r>
        <w:rPr>
          <w:rFonts w:hint="eastAsia" w:asciiTheme="minorEastAsia" w:hAnsiTheme="minorEastAsia" w:cstheme="minorEastAsia"/>
          <w:color w:val="333333"/>
          <w:shd w:val="clear" w:color="auto" w:fill="FFFFFF"/>
        </w:rPr>
        <w:t>代理机构。</w:t>
      </w:r>
    </w:p>
    <w:p w14:paraId="11DF1BA2">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收款帐户为：盐城畅达招标代理有限公司 ，开户行：中国建设银行股份有限公司射阳新阳支行，账号：32050173745500000098。</w:t>
      </w:r>
    </w:p>
    <w:p w14:paraId="4F1769BF">
      <w:pPr>
        <w:pStyle w:val="13"/>
        <w:spacing w:beforeAutospacing="0" w:afterAutospacing="0" w:line="360" w:lineRule="auto"/>
        <w:ind w:firstLine="480"/>
        <w:jc w:val="both"/>
        <w:rPr>
          <w:rFonts w:asciiTheme="minorEastAsia" w:hAnsiTheme="minorEastAsia" w:cstheme="minorEastAsia"/>
          <w:color w:val="333333"/>
          <w:shd w:val="clear" w:color="auto" w:fill="FFFFFF"/>
        </w:rPr>
      </w:pPr>
    </w:p>
    <w:p w14:paraId="36AE119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w:t>
      </w:r>
    </w:p>
    <w:p w14:paraId="50849A3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w:t>
      </w:r>
    </w:p>
    <w:p w14:paraId="58773823">
      <w:pPr>
        <w:pStyle w:val="13"/>
        <w:spacing w:beforeAutospacing="0" w:afterAutospacing="0" w:line="360" w:lineRule="auto"/>
        <w:ind w:firstLine="480"/>
        <w:jc w:val="both"/>
        <w:rPr>
          <w:rFonts w:asciiTheme="minorEastAsia" w:hAnsiTheme="minorEastAsia" w:cstheme="minorEastAsia"/>
          <w:color w:val="333333"/>
          <w:shd w:val="clear" w:color="auto" w:fill="FFFFFF"/>
        </w:rPr>
      </w:pPr>
    </w:p>
    <w:p w14:paraId="5E49B4EF">
      <w:pPr>
        <w:pStyle w:val="13"/>
        <w:spacing w:beforeAutospacing="0" w:afterAutospacing="0" w:line="360" w:lineRule="auto"/>
        <w:ind w:firstLine="480"/>
        <w:jc w:val="both"/>
        <w:rPr>
          <w:rFonts w:asciiTheme="minorEastAsia" w:hAnsiTheme="minorEastAsia" w:cstheme="minorEastAsia"/>
          <w:color w:val="333333"/>
          <w:shd w:val="clear" w:color="auto" w:fill="FFFFFF"/>
        </w:rPr>
      </w:pPr>
    </w:p>
    <w:p w14:paraId="704D016A">
      <w:pPr>
        <w:rPr>
          <w:rFonts w:ascii="黑体" w:hAnsi="宋体" w:eastAsia="黑体" w:cs="黑体"/>
          <w:color w:val="000000"/>
          <w:sz w:val="44"/>
          <w:szCs w:val="44"/>
        </w:rPr>
      </w:pPr>
      <w:r>
        <w:rPr>
          <w:rFonts w:hint="eastAsia" w:ascii="黑体" w:hAnsi="宋体" w:eastAsia="黑体" w:cs="黑体"/>
          <w:color w:val="000000"/>
          <w:sz w:val="44"/>
          <w:szCs w:val="44"/>
        </w:rPr>
        <w:br w:type="page"/>
      </w:r>
    </w:p>
    <w:p w14:paraId="49282457">
      <w:pPr>
        <w:pStyle w:val="13"/>
        <w:keepNext/>
        <w:spacing w:beforeAutospacing="0" w:afterAutospacing="0"/>
        <w:jc w:val="center"/>
      </w:pPr>
      <w:r>
        <w:rPr>
          <w:rFonts w:hint="eastAsia" w:ascii="黑体" w:hAnsi="宋体" w:eastAsia="黑体" w:cs="黑体"/>
          <w:color w:val="000000"/>
          <w:sz w:val="44"/>
          <w:szCs w:val="44"/>
        </w:rPr>
        <w:t>第三章  合同文本</w:t>
      </w:r>
    </w:p>
    <w:p w14:paraId="503EDA1A">
      <w:pPr>
        <w:pStyle w:val="13"/>
        <w:spacing w:before="145" w:beforeAutospacing="0" w:after="145" w:afterAutospacing="0"/>
        <w:jc w:val="center"/>
      </w:pPr>
      <w:r>
        <w:rPr>
          <w:rFonts w:hint="eastAsia" w:ascii="宋体" w:hAnsi="宋体" w:eastAsia="宋体" w:cs="宋体"/>
          <w:b/>
          <w:color w:val="000000"/>
          <w:sz w:val="30"/>
          <w:szCs w:val="30"/>
        </w:rPr>
        <w:t>盐城市政府采购合同（服务）（合同编号）</w:t>
      </w:r>
    </w:p>
    <w:p w14:paraId="0A90E136">
      <w:pPr>
        <w:pStyle w:val="13"/>
        <w:spacing w:beforeAutospacing="0" w:afterAutospacing="0" w:line="360" w:lineRule="auto"/>
        <w:ind w:firstLine="480" w:firstLineChars="200"/>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项目编号：</w:t>
      </w:r>
    </w:p>
    <w:p w14:paraId="339396E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项目名称：</w:t>
      </w:r>
    </w:p>
    <w:p w14:paraId="67623FA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甲方：（买方）_________</w:t>
      </w:r>
    </w:p>
    <w:p w14:paraId="5D7B5259">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乙方：（卖方）_________</w:t>
      </w:r>
    </w:p>
    <w:p w14:paraId="5977AE06">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甲、乙双方根据</w:t>
      </w:r>
      <w:r>
        <w:rPr>
          <w:rFonts w:hint="eastAsia" w:asciiTheme="minorEastAsia" w:hAnsiTheme="minorEastAsia" w:cstheme="minorEastAsia"/>
          <w:color w:val="333333"/>
          <w:u w:val="single"/>
          <w:shd w:val="clear" w:color="auto" w:fill="FFFFFF"/>
        </w:rPr>
        <w:t xml:space="preserve">         </w:t>
      </w:r>
      <w:r>
        <w:rPr>
          <w:rFonts w:hint="eastAsia" w:asciiTheme="minorEastAsia" w:hAnsiTheme="minorEastAsia" w:cstheme="minorEastAsia"/>
          <w:color w:val="333333"/>
          <w:shd w:val="clear" w:color="auto" w:fill="FFFFFF"/>
        </w:rPr>
        <w:t>项目公开招标的结果，签署本合同。</w:t>
      </w:r>
    </w:p>
    <w:p w14:paraId="228CF643">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一、合同内容</w:t>
      </w:r>
    </w:p>
    <w:p w14:paraId="1DF34AC1">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1.1 标的名称：</w:t>
      </w:r>
    </w:p>
    <w:p w14:paraId="6321596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1.2标的质量：</w:t>
      </w:r>
    </w:p>
    <w:p w14:paraId="05733107">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1.3 标的数量（规模）：</w:t>
      </w:r>
    </w:p>
    <w:p w14:paraId="454616A2">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1.4 履行时间（期限）：</w:t>
      </w:r>
    </w:p>
    <w:p w14:paraId="331AB299">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1.5 履行地点：</w:t>
      </w:r>
    </w:p>
    <w:p w14:paraId="34D6382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1.6履行方式：</w:t>
      </w:r>
    </w:p>
    <w:p w14:paraId="4EAD189E">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二、合同金额</w:t>
      </w:r>
    </w:p>
    <w:p w14:paraId="76365423">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2.1本合同金额为（大写）：____________________________________圆（_______________元）人民币或其他币种。</w:t>
      </w:r>
    </w:p>
    <w:p w14:paraId="05ED98A1">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三、技术资料</w:t>
      </w:r>
    </w:p>
    <w:p w14:paraId="514226E6">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3.1乙方应按招标文件规定的时间向甲方提供服务（包含与服务相关的货物）的有关技术资料。</w:t>
      </w:r>
    </w:p>
    <w:p w14:paraId="336801D1">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34E222C">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四、知识产权</w:t>
      </w:r>
    </w:p>
    <w:p w14:paraId="65B48F97">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4.1乙方应保证甲方在使用、接受本合同服务（包含与服务相关的货物）或其任何一部分时不受第三方提出侵犯其专利权、版权、商标权和工业设计权等知识产权的起诉。一旦出现侵权，由乙方负全部责任。</w:t>
      </w:r>
    </w:p>
    <w:p w14:paraId="3B6D8E82">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五、产权担保</w:t>
      </w:r>
    </w:p>
    <w:p w14:paraId="3E0124E9">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5.1乙方保证所交付的服务（包含与服务相关的货物）的所有权完全属于乙方且无任何抵押、查封等产权瑕疵。</w:t>
      </w:r>
    </w:p>
    <w:p w14:paraId="6B0E8278">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六、履约保证金</w:t>
      </w:r>
    </w:p>
    <w:p w14:paraId="1E12600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6.1乙方交纳人民币_________元作为本合同的履约保证金。</w:t>
      </w:r>
    </w:p>
    <w:p w14:paraId="676C2AE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6.2确需收取履约保证金的，履约保证金的缴纳形式：</w:t>
      </w:r>
    </w:p>
    <w:p w14:paraId="55256DB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6.2.1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8EF322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6.2.2 如以履约保函（保险）形式缴纳履约保证金，供应商可通过政府采购电子履约保函（保险）平台（www.jsdzbh.com）在线申请履约保函（保险）。</w:t>
      </w:r>
    </w:p>
    <w:p w14:paraId="73DC366E">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6.3合同履行结束后，甲方应及时退还交纳的履约保证金。</w:t>
      </w:r>
    </w:p>
    <w:p w14:paraId="26A62999">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6.4履约保证金的退还：</w:t>
      </w:r>
    </w:p>
    <w:p w14:paraId="1E3CEB8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6.4.1方式：无息退还至投标人缴纳履约保证金的账户。如为保函，在到期时自行失效。</w:t>
      </w:r>
    </w:p>
    <w:p w14:paraId="2B46945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6.4.2时间：验收合格且采购人收到发票后30日内。</w:t>
      </w:r>
    </w:p>
    <w:p w14:paraId="69264F81">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6.4.3条件：按合同要求全部履约完成并经采购人验收合格，且采购人收到中标人出具的发票。</w:t>
      </w:r>
    </w:p>
    <w:p w14:paraId="167A9EC0">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6.4.4不予退还情形：</w:t>
      </w:r>
    </w:p>
    <w:p w14:paraId="4E35A37E">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除不可抗力情况外，投标人出现下列情形之一的，其履约保证金，招标人将视情节决定不予退还或部分不予退还。</w:t>
      </w:r>
    </w:p>
    <w:p w14:paraId="4C3B5E13">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（1）中标人无正当理由拒绝签订合同的，或者在签订合同时向采购人提出附加条件或者更改合同实质性内容要求的；</w:t>
      </w:r>
    </w:p>
    <w:p w14:paraId="150321F6">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（2）中标人不履行与采购人订立的合同的；</w:t>
      </w:r>
    </w:p>
    <w:p w14:paraId="5DC28387">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（3）中标人所供货物或服务不符合招标文件规定要求的；</w:t>
      </w:r>
    </w:p>
    <w:p w14:paraId="7CEB9513">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（4）中标人采取欺骗、弄虚作假方式投标的或与其它投标人串通投标的；</w:t>
      </w:r>
    </w:p>
    <w:p w14:paraId="5B6C072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（5）中标人将合同内容转包、违法分包的；</w:t>
      </w:r>
    </w:p>
    <w:p w14:paraId="091554E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（6）中标人故意捏造事实或伪造证明材料，进行虚假恶意投诉或反映的。</w:t>
      </w:r>
    </w:p>
    <w:p w14:paraId="37F694FD">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6.4.5逾期退还的违约责任：采购人逾期无故未退还履约保证金的，按中国人民银行同期贷款基准利率上浮20%后的利率支付超期资金占用费，但因供应商自身原因导致无法及时退还的除外。</w:t>
      </w:r>
    </w:p>
    <w:p w14:paraId="7F8D8198">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七、合同转包或分包</w:t>
      </w:r>
    </w:p>
    <w:p w14:paraId="1998D81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7.1乙方不得将合同标的转包给他人履行。</w:t>
      </w:r>
    </w:p>
    <w:p w14:paraId="5EE2277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7.2乙方不得将合同标的分包给他人履行。</w:t>
      </w:r>
    </w:p>
    <w:p w14:paraId="752C287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7.3乙方如有转包或未经甲方同意的分包行为，甲方有权解除合同。</w:t>
      </w:r>
    </w:p>
    <w:p w14:paraId="34A4911E">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八、合同款项支付</w:t>
      </w:r>
    </w:p>
    <w:p w14:paraId="51ACEAF7">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lang w:val="en-US" w:eastAsia="zh-CN"/>
        </w:rPr>
        <w:t>8.1</w:t>
      </w:r>
      <w:r>
        <w:rPr>
          <w:rFonts w:hint="eastAsia" w:asciiTheme="minorEastAsia" w:hAnsiTheme="minorEastAsia" w:cstheme="minorEastAsia"/>
          <w:color w:val="333333"/>
          <w:shd w:val="clear" w:color="auto" w:fill="FFFFFF"/>
        </w:rPr>
        <w:t>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p>
    <w:p w14:paraId="1477660E">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lang w:val="en-US" w:eastAsia="zh-CN"/>
        </w:rPr>
        <w:t>8.2</w:t>
      </w:r>
      <w:r>
        <w:rPr>
          <w:rFonts w:hint="eastAsia" w:asciiTheme="minorEastAsia" w:hAnsiTheme="minorEastAsia" w:cstheme="minorEastAsia"/>
          <w:color w:val="333333"/>
          <w:shd w:val="clear" w:color="auto" w:fill="FFFFFF"/>
          <w:lang w:eastAsia="zh-CN"/>
        </w:rPr>
        <w:t>具体金额根据实际投保人数按实结算，乙方在收到款项后须在次日生效保单，并在5个工作日内交付保单和发票。</w:t>
      </w:r>
    </w:p>
    <w:p w14:paraId="36E3F037">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九、税费</w:t>
      </w:r>
    </w:p>
    <w:p w14:paraId="221E8FB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9.1本合同执行中相关的一切税费均由乙方负担。</w:t>
      </w:r>
    </w:p>
    <w:p w14:paraId="7E11DD31">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十、项目验收</w:t>
      </w:r>
    </w:p>
    <w:p w14:paraId="5C32C18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10.1甲方依法组织履约验收工作。</w:t>
      </w:r>
    </w:p>
    <w:p w14:paraId="410AE28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DBFA2F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10.3对于实际使用人和甲方分离的项目，甲方邀请实际使用人参与验收。</w:t>
      </w:r>
    </w:p>
    <w:p w14:paraId="5CA5311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10.4如有必要，甲方邀请参加本项目的其他供应商或第三方专业机构及专家参与验收，相关意见将作为验收书的参考资料。</w:t>
      </w:r>
    </w:p>
    <w:p w14:paraId="4AC068D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4741901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1EF45FE9">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十一、违约责任</w:t>
      </w:r>
    </w:p>
    <w:p w14:paraId="7CEC7F3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11.1甲方无正当理由拒绝接受乙方提供服务的，甲方向乙方偿付拒绝接受服务合同价款总值10%的违约金。</w:t>
      </w:r>
    </w:p>
    <w:p w14:paraId="5736BCD6">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11.2甲方无故逾期验收和办理合同款项支付手续的,甲方应按逾期付款总额1%每日向乙方支付违约金。</w:t>
      </w:r>
    </w:p>
    <w:p w14:paraId="62EC8723">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10%的违约金，如造成甲方损失超过违约金的，超出部分由乙方继续承担赔偿责任。 </w:t>
      </w:r>
    </w:p>
    <w:p w14:paraId="0D23ED2D">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11.4乙方所提供服务的标准不符合合同规定及招标文件规定标准的，甲方有权拒绝接受服务，并可单方面解除合同。</w:t>
      </w:r>
    </w:p>
    <w:p w14:paraId="418F011B">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十二、不可抗力事件处理</w:t>
      </w:r>
    </w:p>
    <w:p w14:paraId="3604156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12.1在合同有效期内，任何一方因不可抗力事件导致不能履行合同，则合同履行期可延长，其延长期与不可抗力影响 期相同。</w:t>
      </w:r>
    </w:p>
    <w:p w14:paraId="5C0E8D98">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12.2不可抗力事件发生后，应立即通知对方，并寄送有关权威机构出具的证明。</w:t>
      </w:r>
    </w:p>
    <w:p w14:paraId="45274246">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12.3不可抗力事件延续120天以上，双方应通过友好协商，确定是否继续履行合同。</w:t>
      </w:r>
    </w:p>
    <w:p w14:paraId="44363714">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十三、解决争议的方法</w:t>
      </w:r>
    </w:p>
    <w:p w14:paraId="4200615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13.1双方在签订、履行合同中所发生的一切争议，应通过友好协商解决。如协商不成，由甲方住所地人民法院管辖。</w:t>
      </w:r>
    </w:p>
    <w:p w14:paraId="20FF433A">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十四、合同生效及其它</w:t>
      </w:r>
    </w:p>
    <w:p w14:paraId="4FED46EB">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14.1合同经双方法定代表人或授权委托代表人签字并加盖单位公章后生效。</w:t>
      </w:r>
    </w:p>
    <w:p w14:paraId="33B12702">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14.2本合同未尽事宜，遵照《民法典》、《政府采购法》有关条文执行。</w:t>
      </w:r>
    </w:p>
    <w:p w14:paraId="11A2C6F7">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14.3 本合同正本一式两份，具有同等法律效力，甲方、乙方各执一份。</w:t>
      </w:r>
    </w:p>
    <w:p w14:paraId="3387C88E">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甲方：                乙方： </w:t>
      </w:r>
    </w:p>
    <w:p w14:paraId="367DFA78">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  地址：                地址： </w:t>
      </w:r>
    </w:p>
    <w:p w14:paraId="09AC9C77">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法定代表人或授权代表：        法定代表人或授权代表：</w:t>
      </w:r>
    </w:p>
    <w:p w14:paraId="3A0D5CBF">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xml:space="preserve">联系电话：             联系电话：          </w:t>
      </w:r>
    </w:p>
    <w:p w14:paraId="509382CC">
      <w:pPr>
        <w:pStyle w:val="13"/>
        <w:spacing w:beforeAutospacing="0" w:afterAutospacing="0" w:line="360" w:lineRule="auto"/>
        <w:ind w:firstLine="480"/>
        <w:jc w:val="both"/>
      </w:pPr>
      <w:r>
        <w:rPr>
          <w:rFonts w:hint="eastAsia" w:asciiTheme="minorEastAsia" w:hAnsiTheme="minorEastAsia" w:cstheme="minorEastAsia"/>
          <w:color w:val="333333"/>
          <w:shd w:val="clear" w:color="auto" w:fill="FFFFFF"/>
        </w:rPr>
        <w:t>                                    </w:t>
      </w:r>
      <w:r>
        <w:rPr>
          <w:rFonts w:hint="eastAsia" w:ascii="宋体" w:hAnsi="宋体" w:eastAsia="宋体" w:cs="宋体"/>
          <w:color w:val="000000"/>
          <w:sz w:val="21"/>
          <w:szCs w:val="21"/>
        </w:rPr>
        <w:t>      签订日期：      年    月   日</w:t>
      </w:r>
      <w:bookmarkStart w:id="173" w:name="_Toc479757211"/>
      <w:bookmarkStart w:id="174" w:name="_Toc120614244"/>
      <w:bookmarkStart w:id="175" w:name="_Toc462564139"/>
      <w:bookmarkStart w:id="176" w:name="_Toc16938590"/>
      <w:bookmarkStart w:id="177" w:name="_Toc20823346"/>
      <w:bookmarkStart w:id="178" w:name="_Hlt16619350"/>
      <w:bookmarkStart w:id="179" w:name="_Hlt16619369"/>
      <w:r>
        <w:rPr>
          <w:rFonts w:hint="eastAsia" w:ascii="黑体" w:hAnsi="宋体" w:eastAsia="黑体" w:cs="黑体"/>
          <w:color w:val="000000"/>
          <w:sz w:val="44"/>
          <w:szCs w:val="44"/>
        </w:rPr>
        <w:br w:type="page"/>
      </w:r>
      <w:r>
        <w:rPr>
          <w:rFonts w:hint="eastAsia" w:ascii="黑体" w:hAnsi="宋体" w:eastAsia="黑体" w:cs="黑体"/>
          <w:color w:val="000000"/>
          <w:sz w:val="44"/>
          <w:szCs w:val="44"/>
        </w:rPr>
        <w:t> </w:t>
      </w:r>
      <w:r>
        <w:rPr>
          <w:rFonts w:hint="eastAsia" w:ascii="黑体" w:hAnsi="宋体" w:eastAsia="黑体" w:cs="黑体"/>
          <w:color w:val="000000"/>
          <w:sz w:val="44"/>
          <w:szCs w:val="44"/>
          <w:lang w:val="en-US" w:eastAsia="zh-CN"/>
        </w:rPr>
        <w:t xml:space="preserve">         </w:t>
      </w:r>
      <w:r>
        <w:rPr>
          <w:rFonts w:hint="eastAsia" w:ascii="黑体" w:hAnsi="宋体" w:eastAsia="黑体" w:cs="黑体"/>
          <w:color w:val="000000"/>
          <w:sz w:val="44"/>
          <w:szCs w:val="44"/>
        </w:rPr>
        <w:t>第</w:t>
      </w:r>
      <w:bookmarkEnd w:id="173"/>
      <w:r>
        <w:rPr>
          <w:rFonts w:hint="eastAsia" w:ascii="黑体" w:hAnsi="宋体" w:eastAsia="黑体" w:cs="黑体"/>
          <w:color w:val="000000"/>
          <w:sz w:val="44"/>
          <w:szCs w:val="44"/>
        </w:rPr>
        <w:t>四章 采购需求</w:t>
      </w:r>
      <w:bookmarkEnd w:id="174"/>
      <w:bookmarkEnd w:id="175"/>
      <w:bookmarkEnd w:id="176"/>
      <w:bookmarkEnd w:id="177"/>
      <w:bookmarkEnd w:id="178"/>
    </w:p>
    <w:p w14:paraId="44B0F988">
      <w:pPr>
        <w:keepNext w:val="0"/>
        <w:keepLines w:val="0"/>
        <w:pageBreakBefore w:val="0"/>
        <w:widowControl w:val="0"/>
        <w:spacing w:line="360" w:lineRule="auto"/>
        <w:ind w:firstLine="723" w:firstLineChars="3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bookmarkStart w:id="180" w:name="_Toc49090575"/>
      <w:bookmarkStart w:id="181" w:name="_Toc26554093"/>
      <w:r>
        <w:rPr>
          <w:rFonts w:hint="eastAsia" w:asciiTheme="minorEastAsia" w:hAnsiTheme="minorEastAsia" w:eastAsiaTheme="minorEastAsia" w:cstheme="minorEastAsia"/>
          <w:b/>
          <w:bCs/>
          <w:color w:val="333333"/>
          <w:kern w:val="0"/>
          <w:sz w:val="24"/>
          <w:szCs w:val="24"/>
          <w:shd w:val="clear" w:color="auto" w:fill="FFFFFF"/>
          <w:lang w:val="en-US" w:eastAsia="zh-CN" w:bidi="ar-SA"/>
        </w:rPr>
        <w:t>项目属性:服务类项目</w:t>
      </w:r>
      <w:bookmarkEnd w:id="180"/>
      <w:bookmarkEnd w:id="181"/>
    </w:p>
    <w:p w14:paraId="04696FCE">
      <w:pPr>
        <w:keepNext w:val="0"/>
        <w:keepLines w:val="0"/>
        <w:pageBreakBefore w:val="0"/>
        <w:widowControl w:val="0"/>
        <w:spacing w:line="360" w:lineRule="auto"/>
        <w:ind w:firstLine="723" w:firstLineChars="3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一、项目概况</w:t>
      </w:r>
      <w:r>
        <w:rPr>
          <w:rFonts w:hint="eastAsia" w:asciiTheme="minorEastAsia" w:hAnsiTheme="minorEastAsia" w:cstheme="minorEastAsia"/>
          <w:b/>
          <w:bCs/>
          <w:color w:val="333333"/>
          <w:kern w:val="0"/>
          <w:sz w:val="24"/>
          <w:szCs w:val="24"/>
          <w:shd w:val="clear" w:color="auto" w:fill="FFFFFF"/>
          <w:lang w:val="en-US" w:eastAsia="zh-CN" w:bidi="ar-SA"/>
        </w:rPr>
        <w:t>：</w:t>
      </w:r>
    </w:p>
    <w:p w14:paraId="19777C2D">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射阳县农业综合行政执法大队，对我县在“中国渔政指挥管理系统”登记在册的海洋渔船船东，购买射阳县海洋渔业船员意外伤害保险项目。</w:t>
      </w:r>
    </w:p>
    <w:p w14:paraId="2CE88648">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最高限价（单价）：2175元/人。</w:t>
      </w:r>
    </w:p>
    <w:p w14:paraId="3DEAF5AE">
      <w:pPr>
        <w:keepNext w:val="0"/>
        <w:keepLines w:val="0"/>
        <w:pageBreakBefore w:val="0"/>
        <w:widowControl w:val="0"/>
        <w:spacing w:line="360" w:lineRule="auto"/>
        <w:ind w:firstLine="720" w:firstLineChars="300"/>
        <w:rPr>
          <w:rFonts w:hint="default"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备注：本项目投标供应商投标报价按单价进行报价</w:t>
      </w:r>
      <w:r>
        <w:rPr>
          <w:rFonts w:hint="eastAsia" w:asciiTheme="minorEastAsia" w:hAnsiTheme="minorEastAsia" w:cstheme="minorEastAsia"/>
          <w:color w:val="333333"/>
          <w:kern w:val="0"/>
          <w:sz w:val="24"/>
          <w:szCs w:val="24"/>
          <w:shd w:val="clear" w:color="auto" w:fill="FFFFFF"/>
          <w:lang w:val="en-US" w:eastAsia="zh-CN" w:bidi="ar-SA"/>
        </w:rPr>
        <w:t>，</w:t>
      </w:r>
      <w:r>
        <w:rPr>
          <w:rFonts w:hint="eastAsia" w:asciiTheme="minorEastAsia" w:hAnsiTheme="minorEastAsia" w:eastAsiaTheme="minorEastAsia" w:cstheme="minorEastAsia"/>
          <w:color w:val="333333"/>
          <w:kern w:val="0"/>
          <w:sz w:val="24"/>
          <w:szCs w:val="24"/>
          <w:shd w:val="clear" w:color="auto" w:fill="FFFFFF"/>
          <w:lang w:val="en-US" w:eastAsia="zh-CN" w:bidi="ar-SA"/>
        </w:rPr>
        <w:t>投标单价不得超过最高单价限价，否则按无效投标人处理。</w:t>
      </w:r>
    </w:p>
    <w:p w14:paraId="6937D0BC">
      <w:pPr>
        <w:keepNext w:val="0"/>
        <w:keepLines w:val="0"/>
        <w:pageBreakBefore w:val="0"/>
        <w:widowControl w:val="0"/>
        <w:spacing w:line="360" w:lineRule="auto"/>
        <w:ind w:firstLine="723" w:firstLineChars="300"/>
        <w:rPr>
          <w:rFonts w:hint="eastAsia" w:asciiTheme="minorEastAsia" w:hAnsiTheme="minorEastAsia" w:eastAsiaTheme="minorEastAsia" w:cstheme="minorEastAsia"/>
          <w:b/>
          <w:bCs/>
          <w:color w:val="333333"/>
          <w:kern w:val="0"/>
          <w:sz w:val="24"/>
          <w:szCs w:val="24"/>
          <w:shd w:val="clear" w:color="auto" w:fill="FFFFFF"/>
          <w:lang w:val="zh-CN"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二、</w:t>
      </w:r>
      <w:r>
        <w:rPr>
          <w:rFonts w:hint="eastAsia" w:asciiTheme="minorEastAsia" w:hAnsiTheme="minorEastAsia" w:eastAsiaTheme="minorEastAsia" w:cstheme="minorEastAsia"/>
          <w:b/>
          <w:bCs/>
          <w:color w:val="333333"/>
          <w:kern w:val="0"/>
          <w:sz w:val="24"/>
          <w:szCs w:val="24"/>
          <w:shd w:val="clear" w:color="auto" w:fill="FFFFFF"/>
          <w:lang w:val="zh-CN" w:eastAsia="zh-CN" w:bidi="ar-SA"/>
        </w:rPr>
        <w:t>采购需求：</w:t>
      </w:r>
    </w:p>
    <w:p w14:paraId="405CE3EA">
      <w:pPr>
        <w:keepNext w:val="0"/>
        <w:keepLines w:val="0"/>
        <w:pageBreakBefore w:val="0"/>
        <w:widowControl w:val="0"/>
        <w:spacing w:line="360" w:lineRule="auto"/>
        <w:ind w:firstLine="723" w:firstLineChars="3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（一）服务内容：</w:t>
      </w:r>
    </w:p>
    <w:p w14:paraId="2FA95DB8">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1、船员商业意外伤害险保险补贴：</w:t>
      </w:r>
      <w:r>
        <w:rPr>
          <w:rFonts w:hint="default" w:asciiTheme="minorEastAsia" w:hAnsiTheme="minorEastAsia" w:eastAsiaTheme="minorEastAsia" w:cstheme="minorEastAsia"/>
          <w:color w:val="333333"/>
          <w:kern w:val="0"/>
          <w:sz w:val="24"/>
          <w:szCs w:val="24"/>
          <w:shd w:val="clear" w:color="auto" w:fill="FFFFFF"/>
          <w:lang w:val="en-US" w:eastAsia="zh-CN" w:bidi="ar-SA"/>
        </w:rPr>
        <w:t>在省渔业互助保险基础上，船东为船员</w:t>
      </w:r>
      <w:r>
        <w:rPr>
          <w:rFonts w:hint="eastAsia" w:asciiTheme="minorEastAsia" w:hAnsiTheme="minorEastAsia" w:eastAsiaTheme="minorEastAsia" w:cstheme="minorEastAsia"/>
          <w:color w:val="333333"/>
          <w:kern w:val="0"/>
          <w:sz w:val="24"/>
          <w:szCs w:val="24"/>
          <w:shd w:val="clear" w:color="auto" w:fill="FFFFFF"/>
          <w:lang w:val="en-US" w:eastAsia="zh-CN" w:bidi="ar-SA"/>
        </w:rPr>
        <w:t>再次</w:t>
      </w:r>
      <w:r>
        <w:rPr>
          <w:rFonts w:hint="default" w:asciiTheme="minorEastAsia" w:hAnsiTheme="minorEastAsia" w:eastAsiaTheme="minorEastAsia" w:cstheme="minorEastAsia"/>
          <w:color w:val="333333"/>
          <w:kern w:val="0"/>
          <w:sz w:val="24"/>
          <w:szCs w:val="24"/>
          <w:shd w:val="clear" w:color="auto" w:fill="FFFFFF"/>
          <w:lang w:val="en-US" w:eastAsia="zh-CN" w:bidi="ar-SA"/>
        </w:rPr>
        <w:t>购买商业意外伤害险</w:t>
      </w:r>
      <w:r>
        <w:rPr>
          <w:rFonts w:hint="eastAsia" w:asciiTheme="minorEastAsia" w:hAnsiTheme="minorEastAsia" w:eastAsiaTheme="minorEastAsia" w:cstheme="minorEastAsia"/>
          <w:color w:val="333333"/>
          <w:kern w:val="0"/>
          <w:sz w:val="24"/>
          <w:szCs w:val="24"/>
          <w:shd w:val="clear" w:color="auto" w:fill="FFFFFF"/>
          <w:lang w:val="en-US" w:eastAsia="zh-CN" w:bidi="ar-SA"/>
        </w:rPr>
        <w:t>60万元/人，保费按：2175元/人计算（本项目最高限价），需要投保的出海船员约为2500人，保单总金额约为544万元。县财政为所投保的出海船员，按每人保费的30%进行补贴，补贴资金为163.2万元。</w:t>
      </w:r>
    </w:p>
    <w:p w14:paraId="3C69AA54">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2、补贴对象：我县在“中国渔政指挥管理系统”登记在册的海洋渔船船东。</w:t>
      </w:r>
    </w:p>
    <w:p w14:paraId="7018CD4A">
      <w:pPr>
        <w:keepNext w:val="0"/>
        <w:keepLines w:val="0"/>
        <w:pageBreakBefore w:val="0"/>
        <w:widowControl w:val="0"/>
        <w:spacing w:line="360" w:lineRule="auto"/>
        <w:ind w:firstLine="720" w:firstLineChars="300"/>
        <w:rPr>
          <w:rFonts w:hint="default"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3、补贴流程：公开招标确定承保单位，项目实施周期一年，项目实施周期内，由船东先行支付保险资金，待项目验收后，由县农业综合行政执法大队汇总统计进行资金申请，县农业农村局审核，在县政府网站对外公示无异议后，报县财政局申请资金，由县财政局将补贴资金一次性拨付到补贴对象账户。中标单位在一年度服务期结束后，须提供相关保单汇总数据给采购单位，作为县财政补贴审批流程依据。</w:t>
      </w:r>
    </w:p>
    <w:p w14:paraId="47145E2F">
      <w:pPr>
        <w:keepNext w:val="0"/>
        <w:keepLines w:val="0"/>
        <w:pageBreakBefore w:val="0"/>
        <w:widowControl w:val="0"/>
        <w:spacing w:line="360" w:lineRule="auto"/>
        <w:ind w:firstLine="720" w:firstLineChars="300"/>
        <w:rPr>
          <w:rFonts w:hint="default"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招标内容重点为保费金额、赔付流程与省渔业互助保险协会一致，重点围绕人员死亡事故先赔付后审批。投标人投标响应的保险产品，必须经保险监督管理部门正式批准或报备同意。本项目中标单位在签订合同前须向采购人提供相关批准或报备同意的相关证明材料。</w:t>
      </w:r>
      <w:r>
        <w:rPr>
          <w:rFonts w:hint="eastAsia" w:asciiTheme="minorEastAsia" w:hAnsiTheme="minorEastAsia" w:eastAsiaTheme="minorEastAsia" w:cstheme="minorEastAsia"/>
          <w:color w:val="333333"/>
          <w:kern w:val="0"/>
          <w:sz w:val="24"/>
          <w:szCs w:val="24"/>
          <w:shd w:val="clear" w:color="auto" w:fill="FFFFFF"/>
          <w:lang w:val="en-US" w:eastAsia="zh-CN" w:bidi="ar-SA"/>
        </w:rPr>
        <w:t>中标单位须按此项规定，在省渔业互助保险协会对发生人员死亡事故进行赔付后，须在第一时间内，对其死亡事故进行赔付。</w:t>
      </w:r>
    </w:p>
    <w:p w14:paraId="223B356C">
      <w:pPr>
        <w:keepNext w:val="0"/>
        <w:keepLines w:val="0"/>
        <w:pageBreakBefore w:val="0"/>
        <w:widowControl w:val="0"/>
        <w:spacing w:line="360" w:lineRule="auto"/>
        <w:ind w:firstLine="723" w:firstLineChars="3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w:t>
      </w:r>
      <w:r>
        <w:rPr>
          <w:rFonts w:hint="eastAsia" w:asciiTheme="minorEastAsia" w:hAnsiTheme="minorEastAsia" w:cstheme="minorEastAsia"/>
          <w:b/>
          <w:bCs/>
          <w:color w:val="333333"/>
          <w:kern w:val="0"/>
          <w:sz w:val="24"/>
          <w:szCs w:val="24"/>
          <w:shd w:val="clear" w:color="auto" w:fill="FFFFFF"/>
          <w:lang w:val="en-US" w:eastAsia="zh-CN" w:bidi="ar-SA"/>
        </w:rPr>
        <w:t>二</w:t>
      </w:r>
      <w:r>
        <w:rPr>
          <w:rFonts w:hint="eastAsia" w:asciiTheme="minorEastAsia" w:hAnsiTheme="minorEastAsia" w:eastAsiaTheme="minorEastAsia" w:cstheme="minorEastAsia"/>
          <w:b/>
          <w:bCs/>
          <w:color w:val="333333"/>
          <w:kern w:val="0"/>
          <w:sz w:val="24"/>
          <w:szCs w:val="24"/>
          <w:shd w:val="clear" w:color="auto" w:fill="FFFFFF"/>
          <w:lang w:val="en-US" w:eastAsia="zh-CN" w:bidi="ar-SA"/>
        </w:rPr>
        <w:t>）保险条款（此保险条款</w:t>
      </w:r>
      <w:r>
        <w:rPr>
          <w:rFonts w:hint="eastAsia" w:asciiTheme="minorEastAsia" w:hAnsiTheme="minorEastAsia" w:eastAsiaTheme="minorEastAsia" w:cstheme="minorEastAsia"/>
          <w:b/>
          <w:bCs/>
          <w:color w:val="333333"/>
          <w:kern w:val="0"/>
          <w:sz w:val="24"/>
          <w:szCs w:val="24"/>
          <w:shd w:val="clear" w:color="auto" w:fill="FFFFFF"/>
          <w:lang w:val="zh-CN" w:eastAsia="zh-CN" w:bidi="ar-SA"/>
        </w:rPr>
        <w:t>为实质性条款，必须响应，否则为无效标</w:t>
      </w:r>
      <w:r>
        <w:rPr>
          <w:rFonts w:hint="eastAsia" w:asciiTheme="minorEastAsia" w:hAnsiTheme="minorEastAsia" w:eastAsiaTheme="minorEastAsia" w:cstheme="minorEastAsia"/>
          <w:b/>
          <w:bCs/>
          <w:color w:val="333333"/>
          <w:kern w:val="0"/>
          <w:sz w:val="24"/>
          <w:szCs w:val="24"/>
          <w:shd w:val="clear" w:color="auto" w:fill="FFFFFF"/>
          <w:lang w:val="en-US" w:eastAsia="zh-CN" w:bidi="ar-SA"/>
        </w:rPr>
        <w:t>）：</w:t>
      </w:r>
    </w:p>
    <w:p w14:paraId="1307EBFA">
      <w:pPr>
        <w:keepNext w:val="0"/>
        <w:keepLines w:val="0"/>
        <w:pageBreakBefore w:val="0"/>
        <w:widowControl w:val="0"/>
        <w:spacing w:line="360" w:lineRule="auto"/>
        <w:ind w:firstLine="723" w:firstLineChars="300"/>
        <w:jc w:val="center"/>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射阳县海洋渔业船员意外伤害险保险条款</w:t>
      </w:r>
    </w:p>
    <w:p w14:paraId="2CB4E92E">
      <w:pPr>
        <w:keepNext w:val="0"/>
        <w:keepLines w:val="0"/>
        <w:pageBreakBefore w:val="0"/>
        <w:widowControl w:val="0"/>
        <w:spacing w:line="360" w:lineRule="auto"/>
        <w:ind w:firstLine="723" w:firstLineChars="300"/>
        <w:jc w:val="center"/>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总     则</w:t>
      </w:r>
    </w:p>
    <w:p w14:paraId="04A76C4D">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第一条　本射阳县海洋渔业船员意外伤害险保险合同（以下简称“本合同”）由本条款、射阳县海洋渔业船员意外伤害险保险凭证、批改单和投保人提供的相关材料等组成。凡涉及本合同的约定，均应采用书面形式。</w:t>
      </w:r>
    </w:p>
    <w:p w14:paraId="057F1A96">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第二条  在我省渔业船舶(企业)登记机关登记的，从事渔业生产或为渔业生产服务的船舶或企业的所有人、经营人及承租人均可参加本射阳县海洋渔业船员意外伤害险保险，成为本会会员。</w:t>
      </w:r>
    </w:p>
    <w:p w14:paraId="40587F6B">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第三条  本射阳县海洋渔业船员意外伤害险保险受益人为会员。</w:t>
      </w:r>
    </w:p>
    <w:p w14:paraId="1B082322">
      <w:pPr>
        <w:keepNext w:val="0"/>
        <w:keepLines w:val="0"/>
        <w:pageBreakBefore w:val="0"/>
        <w:widowControl w:val="0"/>
        <w:spacing w:line="360" w:lineRule="auto"/>
        <w:ind w:firstLine="2168" w:firstLineChars="9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射阳县海洋渔业船员意外伤害险保险责任</w:t>
      </w:r>
    </w:p>
    <w:p w14:paraId="422ECB81">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第四条　在射阳县海洋渔业船员意外伤害险保险期限内，会员本人或与会员存在劳动雇佣关系的员工（以下简称“雇工”），因下列情形导致伤残或死亡，根据劳动雇佣合同或相关法律法规应由会员承担的死亡、伤残补偿金，本保险公司按本合同约定负责赔偿：</w:t>
      </w:r>
    </w:p>
    <w:p w14:paraId="1D03130C">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（一）在工作时间和工作场所，因工作原因受到自然灾害、意外事故伤害或失踪；</w:t>
      </w:r>
    </w:p>
    <w:p w14:paraId="5E54BC8F">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（二）因工外出期间，由于工作原因受到自然灾害、意外事故伤害或失踪；</w:t>
      </w:r>
    </w:p>
    <w:p w14:paraId="47D41FC4">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（三）在抢险救灾等维护国家利益、公共利益活动中受到伤害或失踪；</w:t>
      </w:r>
    </w:p>
    <w:p w14:paraId="16838417">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（四）在海上作业期间，突发疾病导致死亡或在48小时内经抢救无效死亡的，按射阳县海洋渔业船员意外伤害险保险金额的50%计赔。</w:t>
      </w:r>
    </w:p>
    <w:p w14:paraId="7A29E534">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射阳县海洋渔业船员意外伤害险保险期限</w:t>
      </w:r>
    </w:p>
    <w:p w14:paraId="6B453D19">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第五条　射阳县海洋渔业船员意外伤害险保险期限为一年,起讫时间以射阳县海洋渔业船员意外伤害险保险凭证载明的为准。除另有约定外，射阳县海洋渔业船员意外伤害险保险责任自会员按规定缴纳射阳县海洋渔业船员意外伤害险保险费之次日零时起生效。</w:t>
      </w:r>
    </w:p>
    <w:p w14:paraId="1BAF11EE">
      <w:pPr>
        <w:keepNext w:val="0"/>
        <w:keepLines w:val="0"/>
        <w:pageBreakBefore w:val="0"/>
        <w:widowControl w:val="0"/>
        <w:spacing w:line="360" w:lineRule="auto"/>
        <w:ind w:firstLine="1928" w:firstLineChars="800"/>
        <w:rPr>
          <w:rFonts w:hint="eastAsia" w:asciiTheme="minorEastAsia" w:hAnsiTheme="minorEastAsia" w:eastAsiaTheme="minorEastAsia" w:cstheme="minorEastAsia"/>
          <w:b/>
          <w:bCs/>
          <w:color w:val="auto"/>
          <w:kern w:val="0"/>
          <w:sz w:val="24"/>
          <w:szCs w:val="24"/>
          <w:shd w:val="clear" w:color="auto" w:fill="FFFFFF"/>
          <w:lang w:val="en-US" w:eastAsia="zh-CN" w:bidi="ar-SA"/>
        </w:rPr>
      </w:pPr>
      <w:r>
        <w:rPr>
          <w:rFonts w:hint="eastAsia" w:asciiTheme="minorEastAsia" w:hAnsiTheme="minorEastAsia" w:eastAsiaTheme="minorEastAsia" w:cstheme="minorEastAsia"/>
          <w:b/>
          <w:bCs/>
          <w:color w:val="auto"/>
          <w:kern w:val="0"/>
          <w:sz w:val="24"/>
          <w:szCs w:val="24"/>
          <w:shd w:val="clear" w:color="auto" w:fill="FFFFFF"/>
          <w:lang w:val="en-US" w:eastAsia="zh-CN" w:bidi="ar-SA"/>
        </w:rPr>
        <w:t>射阳县海洋渔业船员意外伤害险保险金额</w:t>
      </w:r>
    </w:p>
    <w:p w14:paraId="2BFA7065">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第六条　意外死亡的射阳县海洋渔业船员意外伤害险保险金额（以下简称“保额”）由本保险公司与会员双方约定，最低为每人人民币1万元，最高为每人人民币60万元。</w:t>
      </w:r>
    </w:p>
    <w:p w14:paraId="04D22706">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意外伤残的保额由本会与会员双方约定，最低为每人人民币1万元，最高为每人人民币20万元。</w:t>
      </w:r>
    </w:p>
    <w:p w14:paraId="2880F912">
      <w:pPr>
        <w:keepNext w:val="0"/>
        <w:keepLines w:val="0"/>
        <w:pageBreakBefore w:val="0"/>
        <w:widowControl w:val="0"/>
        <w:spacing w:line="360" w:lineRule="auto"/>
        <w:ind w:firstLine="3855" w:firstLineChars="16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除外责任</w:t>
      </w:r>
    </w:p>
    <w:p w14:paraId="152AED99">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第七条　发生下列情形之一的，本保险公司不承担赔偿责任：</w:t>
      </w:r>
    </w:p>
    <w:p w14:paraId="26F1D8C8">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（一）船舶不适航或养殖生产活动不符合安全生产条件；</w:t>
      </w:r>
    </w:p>
    <w:p w14:paraId="0D7B4543">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（二）会员或其雇工的故意行为或欺诈行为；</w:t>
      </w:r>
    </w:p>
    <w:p w14:paraId="2E5FE450">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（三）会员或其雇工自杀、自残、自然死亡；</w:t>
      </w:r>
    </w:p>
    <w:p w14:paraId="42DADF70">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（四）会员或其雇工因饮酒、精神失常、自身疾病，吸食、服用、注射毒品或管制药品而致死亡或伤残；</w:t>
      </w:r>
    </w:p>
    <w:p w14:paraId="4702AF03">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 xml:space="preserve">（五）会员或其雇工饮酒驾驶机动车、电动车，准驾车型不符、无有效驾驶证或驾驶无有效行驶证的机动车等行为而致死亡或伤残； </w:t>
      </w:r>
    </w:p>
    <w:p w14:paraId="7CA3DD7D">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（六）会员或其雇工参与殴斗、盗窃、偷渡、走私等违法犯罪活动而致死亡或伤残；</w:t>
      </w:r>
    </w:p>
    <w:p w14:paraId="44C8F3DF">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（七）会员或其雇工违反休渔、禁渔规定作业以及电鱼、毒鱼、炸鱼等违法违规行为而致死亡或伤残；</w:t>
      </w:r>
    </w:p>
    <w:p w14:paraId="796CD15F">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（八）会员或其雇工从事与射阳县海洋渔业船员意外伤害险保险凭证上约定的渔业船舶（以下简称“会员船”）或企业无关的活动而致死亡、失踪或伤残；</w:t>
      </w:r>
    </w:p>
    <w:p w14:paraId="24EFE70C">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（九）整船满额不记名投保的，会员或其雇工在岸上发生的死亡、失踪或伤残；非会员或其雇佣的船员在会员船上发生的死亡或伤残；</w:t>
      </w:r>
    </w:p>
    <w:p w14:paraId="69021A7A">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（十）会员变更、记名投保的雇工变更、会员船变更未办理批改手续；</w:t>
      </w:r>
    </w:p>
    <w:p w14:paraId="1D8ED6DF">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（十一）战争或军事行为、罢工、暴动、民众骚乱、恐怖活动、核辐射、核爆炸、核污染及其他放射性污染；</w:t>
      </w:r>
    </w:p>
    <w:p w14:paraId="5821BE50">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（十二）会员或其雇工的工资、奖金、罚金罚款、补助、精神损害赔偿等；</w:t>
      </w:r>
    </w:p>
    <w:p w14:paraId="261F04A7">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（十三）其他不属于射阳县海洋渔业船员意外伤害险保险责任范围内的损失和费用。</w:t>
      </w:r>
    </w:p>
    <w:p w14:paraId="528EBD15">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第八条  会员或其雇工因工作原因驾驶电动车（除电动自行车外）导致死亡的按射阳县海洋渔业船员意外伤害险保险金额的50%计赔，导致伤残的按《射阳县海洋渔业船员意外伤害险保险伤残赔付比例表》所列伤残赔付比例的50%计赔。</w:t>
      </w:r>
    </w:p>
    <w:p w14:paraId="0B4250A6">
      <w:pPr>
        <w:keepNext w:val="0"/>
        <w:keepLines w:val="0"/>
        <w:pageBreakBefore w:val="0"/>
        <w:widowControl w:val="0"/>
        <w:spacing w:line="360" w:lineRule="auto"/>
        <w:ind w:firstLine="3855" w:firstLineChars="16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报    案</w:t>
      </w:r>
    </w:p>
    <w:p w14:paraId="3F78E8DE">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第九条　发生本射阳县海洋渔业船员意外伤害险保险责任范围内的事故后，会员应利用最有效的通讯手段及时报告本保险公司和有关部门，并应在事故发生后或船舶到达第一港口后的24小时内，向本保险公司提交事故报告。</w:t>
      </w:r>
    </w:p>
    <w:p w14:paraId="3169FB1E">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会员未及时报告，致使事故的性质、原因、损失程度等难以确定的，本保险公司有权拒绝赔偿或相应扣减赔款。</w:t>
      </w:r>
    </w:p>
    <w:p w14:paraId="26808588">
      <w:pPr>
        <w:keepNext w:val="0"/>
        <w:keepLines w:val="0"/>
        <w:pageBreakBefore w:val="0"/>
        <w:widowControl w:val="0"/>
        <w:spacing w:line="360" w:lineRule="auto"/>
        <w:ind w:firstLine="3855" w:firstLineChars="16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索    赔</w:t>
      </w:r>
    </w:p>
    <w:p w14:paraId="54B7596C">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第十条　会员在索赔时应提供以下材料：</w:t>
      </w:r>
    </w:p>
    <w:p w14:paraId="06AA0AE9">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（一）射阳县海洋渔业船员意外伤害险保险凭证会员联（影印件）；</w:t>
      </w:r>
    </w:p>
    <w:p w14:paraId="3C865D02">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（二）事故报告书和索赔申请书；</w:t>
      </w:r>
    </w:p>
    <w:p w14:paraId="0CE118A8">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（三）事故原因及责任认定证明材料；</w:t>
      </w:r>
    </w:p>
    <w:p w14:paraId="4F6673E3">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（四）会员或其雇工死亡的，应提供公安部门、二级以上（含二级）医院或具有资质的鉴定机构出具的死亡原因证明以及公安部门出具的户口注销证明；</w:t>
      </w:r>
    </w:p>
    <w:p w14:paraId="6EF911B2">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会员或其雇工失踪的，应提供人民法院宣告失踪或宣告死亡的法律文件或公安部门出具的户口注销证明或失踪证明，或者事故调查机关出具的失踪证明材料；</w:t>
      </w:r>
    </w:p>
    <w:p w14:paraId="7B63E48C">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会员或其雇工伤残的，应提供二级以上（含二级）医院出具的医疗诊断证明或具有资质的鉴定机构出具的伤残鉴定证明；</w:t>
      </w:r>
    </w:p>
    <w:p w14:paraId="1D2A79A3">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 xml:space="preserve">（五）出险人员的身份证明、渔业船员证书、出海船民证及所在船舶的船舶户口簿(影印件)； </w:t>
      </w:r>
    </w:p>
    <w:p w14:paraId="5FF35AA4">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（六）会员与雇工间的劳动雇佣关系证明；</w:t>
      </w:r>
    </w:p>
    <w:p w14:paraId="69AFB69C">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（七）申请意外伤残住院医疗补助的，还需提供医院出具的住院治疗费、手术费、检查费、医药费、床位费发票以及出院小结等；</w:t>
      </w:r>
    </w:p>
    <w:p w14:paraId="2F13DCF6">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（八）伤害赔偿的赔偿协议、调解书、判决书或仲裁书；</w:t>
      </w:r>
    </w:p>
    <w:p w14:paraId="322D07FA">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（九）受益人银行账户信息采集表；</w:t>
      </w:r>
    </w:p>
    <w:p w14:paraId="451B8D48">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（十）本保险公司认为需要提供的其它证明材料。</w:t>
      </w:r>
    </w:p>
    <w:p w14:paraId="42416ED3">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第十一条　会员自射阳县海洋渔业船员意外伤害险保险事故发生之日起，两年内不向本保险公司提出书面索赔申请的，或者不提供本条款约定的索赔材料的，视作自动放弃索赔权益。</w:t>
      </w:r>
    </w:p>
    <w:p w14:paraId="23BD530D">
      <w:pPr>
        <w:keepNext w:val="0"/>
        <w:keepLines w:val="0"/>
        <w:pageBreakBefore w:val="0"/>
        <w:widowControl w:val="0"/>
        <w:spacing w:line="360" w:lineRule="auto"/>
        <w:ind w:firstLine="3614" w:firstLineChars="15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赔偿与补助</w:t>
      </w:r>
    </w:p>
    <w:p w14:paraId="6688676C">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第十二条　本保险公司赔偿时按以下规定执行：</w:t>
      </w:r>
    </w:p>
    <w:p w14:paraId="52F264D4">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（一）会员或其雇工意外死亡或失踪的，按保险公司承担的责任赔偿，最高赔偿金额以意外死亡的保额为限；</w:t>
      </w:r>
    </w:p>
    <w:p w14:paraId="32CF3787">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意外失踪赔付后若会员或雇工生还的，会员应在知道或应当知道其生还后30日内退还赔款。</w:t>
      </w:r>
    </w:p>
    <w:p w14:paraId="6AFDF357">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（二）会员或其雇工意外造成《射阳县海洋渔业船员意外伤害险保险伤残赔付比例表》所列伤残，按保险公司承担的责任赔偿, 最高赔偿金额为：</w:t>
      </w:r>
    </w:p>
    <w:p w14:paraId="2266B1B0">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意外伤残的最高赔偿金额=意外伤残的保额×伤残赔付比例。</w:t>
      </w:r>
    </w:p>
    <w:p w14:paraId="428C4411">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三）实行整船满额不记名投保的，发生事故时船上实际人数少于射阳县海洋渔业船员意外伤害险保险凭证中约定的射阳县海洋渔业船员意外伤害险保险人数时，按射阳县海洋渔业船员意外伤害险保险凭证约定的每个人的意外死亡保额或意外伤残保额计算赔偿；船上实际人数超过射阳县海洋渔业船员意外伤害险保险凭证中约定的射阳县海洋渔业船员意外伤害险保险人数时，按以下公式重新计算后的每个人的意外死亡保额或意外伤残保额计算赔偿。</w:t>
      </w:r>
    </w:p>
    <w:p w14:paraId="5784C632">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意外死亡（伤残）保额=射阳县海洋渔业船员意外伤害险保险凭证约定的意外死亡（伤残）保额×射阳县海洋渔业船员意外伤害险保险凭证约定的射阳县海洋渔业船员意外伤害险保险人数÷事故发生时船上的实际人数</w:t>
      </w:r>
    </w:p>
    <w:p w14:paraId="4EE8DD1D">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第十三条  会员或其雇工因意外伤害在二级以上（含二级）医院住院医疗费用超过2万元，且按《射阳县海洋渔业船员意外伤害险保险伤残赔付比例表》所列伤残赔付比例小于20%或不在所列伤残范围的，本保险公司给予意外伤害住院医疗补助：</w:t>
      </w:r>
    </w:p>
    <w:p w14:paraId="4E205BF3">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意外伤害住院医疗补助金额=（住院医疗费用－意外伤残赔款）×30%×意外伤残保额÷20万元</w:t>
      </w:r>
    </w:p>
    <w:p w14:paraId="5ED1C1BB">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住院医疗费用是指会员或其雇工自意外伤害事故发生之日起180日内，以该起意外伤害事故为直接原因所发生的治疗费、手术费、检查费、医药费和床位费。不包括安装假肢、假牙、假眼和其他残疾用具费用以及交通费、急救车费、营养费、误工费等其他费用。</w:t>
      </w:r>
    </w:p>
    <w:p w14:paraId="0502788E">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单起事故的意外伤害住院医疗补助金额以意外伤残保额的20%减去意外伤残赔款的差值为限。</w:t>
      </w:r>
    </w:p>
    <w:p w14:paraId="361674BE">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第十四条  射阳县海洋渔业船员意外伤害险保险期限内，会员或其雇工多次发生意外伤害的，其累计意外伤残赔偿金额与累计意外伤害住院医疗补助金额之和以约定的意外伤残保额为限。</w:t>
      </w:r>
    </w:p>
    <w:p w14:paraId="0E09BBF0">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同一意外伤害事故造成伤残并导致死亡的，按意外死亡计算赔偿。</w:t>
      </w:r>
    </w:p>
    <w:p w14:paraId="614065A7">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ab/>
      </w:r>
      <w:r>
        <w:rPr>
          <w:rFonts w:hint="eastAsia" w:asciiTheme="minorEastAsia" w:hAnsiTheme="minorEastAsia" w:eastAsiaTheme="minorEastAsia" w:cstheme="minorEastAsia"/>
          <w:color w:val="333333"/>
          <w:kern w:val="0"/>
          <w:sz w:val="24"/>
          <w:szCs w:val="24"/>
          <w:shd w:val="clear" w:color="auto" w:fill="FFFFFF"/>
          <w:lang w:val="en-US" w:eastAsia="zh-CN" w:bidi="ar-SA"/>
        </w:rPr>
        <w:t xml:space="preserve">            </w:t>
      </w:r>
      <w:r>
        <w:rPr>
          <w:rFonts w:hint="eastAsia" w:asciiTheme="minorEastAsia" w:hAnsiTheme="minorEastAsia" w:cstheme="minorEastAsia"/>
          <w:color w:val="333333"/>
          <w:kern w:val="0"/>
          <w:sz w:val="24"/>
          <w:szCs w:val="24"/>
          <w:shd w:val="clear" w:color="auto" w:fill="FFFFFF"/>
          <w:lang w:val="en-US" w:eastAsia="zh-CN" w:bidi="ar-SA"/>
        </w:rPr>
        <w:t xml:space="preserve"> </w:t>
      </w:r>
      <w:r>
        <w:rPr>
          <w:rFonts w:hint="eastAsia" w:asciiTheme="minorEastAsia" w:hAnsiTheme="minorEastAsia" w:cstheme="minorEastAsia"/>
          <w:b/>
          <w:bCs/>
          <w:color w:val="333333"/>
          <w:kern w:val="0"/>
          <w:sz w:val="24"/>
          <w:szCs w:val="24"/>
          <w:shd w:val="clear" w:color="auto" w:fill="FFFFFF"/>
          <w:lang w:val="en-US" w:eastAsia="zh-CN" w:bidi="ar-SA"/>
        </w:rPr>
        <w:t xml:space="preserve">          </w:t>
      </w:r>
      <w:r>
        <w:rPr>
          <w:rFonts w:hint="eastAsia" w:asciiTheme="minorEastAsia" w:hAnsiTheme="minorEastAsia" w:eastAsiaTheme="minorEastAsia" w:cstheme="minorEastAsia"/>
          <w:b/>
          <w:bCs/>
          <w:color w:val="333333"/>
          <w:kern w:val="0"/>
          <w:sz w:val="24"/>
          <w:szCs w:val="24"/>
          <w:shd w:val="clear" w:color="auto" w:fill="FFFFFF"/>
          <w:lang w:val="en-US" w:eastAsia="zh-CN" w:bidi="ar-SA"/>
        </w:rPr>
        <w:t xml:space="preserve"> 争议处理</w:t>
      </w:r>
    </w:p>
    <w:p w14:paraId="085AB48D">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第十五条　会员与本保险公司之间一切有关射阳县海洋渔业船员意外伤害险保险的争议，应通过友好协商解决。协商不成时，可提交仲裁机构仲裁或向法院提起诉讼。除另有约定外，诉讼应在被告住所地进行。</w:t>
      </w:r>
    </w:p>
    <w:p w14:paraId="3CA88AD7">
      <w:pPr>
        <w:keepNext w:val="0"/>
        <w:keepLines w:val="0"/>
        <w:pageBreakBefore w:val="0"/>
        <w:widowControl w:val="0"/>
        <w:spacing w:line="360" w:lineRule="auto"/>
        <w:ind w:firstLine="3855" w:firstLineChars="16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解释权</w:t>
      </w:r>
    </w:p>
    <w:p w14:paraId="030C3CA0">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第十六条　本条款由本保险公司负责解释。</w:t>
      </w:r>
    </w:p>
    <w:p w14:paraId="5D1E96AA">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p>
    <w:p w14:paraId="65507104">
      <w:pPr>
        <w:keepNext w:val="0"/>
        <w:keepLines w:val="0"/>
        <w:pageBreakBefore w:val="0"/>
        <w:widowControl w:val="0"/>
        <w:spacing w:line="360" w:lineRule="auto"/>
        <w:ind w:firstLine="843" w:firstLineChars="300"/>
        <w:rPr>
          <w:rFonts w:hint="eastAsia" w:asciiTheme="minorEastAsia" w:hAnsiTheme="minorEastAsia" w:eastAsiaTheme="minorEastAsia" w:cstheme="minorEastAsia"/>
          <w:b/>
          <w:bCs/>
          <w:color w:val="333333"/>
          <w:kern w:val="0"/>
          <w:sz w:val="28"/>
          <w:szCs w:val="28"/>
          <w:shd w:val="clear" w:color="auto" w:fill="FFFFFF"/>
          <w:lang w:val="en-US" w:eastAsia="zh-CN" w:bidi="ar-SA"/>
        </w:rPr>
      </w:pPr>
      <w:r>
        <w:rPr>
          <w:rFonts w:hint="eastAsia" w:asciiTheme="minorEastAsia" w:hAnsiTheme="minorEastAsia" w:eastAsiaTheme="minorEastAsia" w:cstheme="minorEastAsia"/>
          <w:b/>
          <w:bCs/>
          <w:color w:val="333333"/>
          <w:kern w:val="0"/>
          <w:sz w:val="28"/>
          <w:szCs w:val="28"/>
          <w:shd w:val="clear" w:color="auto" w:fill="FFFFFF"/>
          <w:lang w:val="en-US" w:eastAsia="zh-CN" w:bidi="ar-SA"/>
        </w:rPr>
        <w:t>射阳县海洋渔业船员意外伤害险保险伤残赔付比例表</w:t>
      </w:r>
    </w:p>
    <w:p w14:paraId="532D0DE8">
      <w:pPr>
        <w:ind w:firstLine="1256" w:firstLineChars="596"/>
        <w:rPr>
          <w:rFonts w:hint="eastAsia" w:ascii="仿宋" w:hAnsi="仿宋" w:eastAsia="仿宋" w:cs="仿宋"/>
          <w:b/>
        </w:rPr>
      </w:pPr>
    </w:p>
    <w:tbl>
      <w:tblPr>
        <w:tblStyle w:val="16"/>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669"/>
        <w:gridCol w:w="51"/>
        <w:gridCol w:w="4670"/>
        <w:gridCol w:w="146"/>
        <w:gridCol w:w="1277"/>
        <w:gridCol w:w="187"/>
        <w:gridCol w:w="1748"/>
        <w:gridCol w:w="44"/>
      </w:tblGrid>
      <w:tr w14:paraId="27B8D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noWrap w:val="0"/>
            <w:vAlign w:val="center"/>
          </w:tcPr>
          <w:p w14:paraId="3361476D">
            <w:pPr>
              <w:jc w:val="center"/>
              <w:rPr>
                <w:rFonts w:hint="eastAsia" w:ascii="仿宋" w:hAnsi="仿宋" w:eastAsia="仿宋" w:cs="仿宋"/>
                <w:sz w:val="24"/>
              </w:rPr>
            </w:pPr>
            <w:r>
              <w:rPr>
                <w:rFonts w:hint="eastAsia" w:ascii="仿宋" w:hAnsi="仿宋" w:eastAsia="仿宋" w:cs="仿宋"/>
                <w:sz w:val="24"/>
              </w:rPr>
              <w:t>伤残部位</w:t>
            </w:r>
          </w:p>
        </w:tc>
        <w:tc>
          <w:tcPr>
            <w:tcW w:w="4867" w:type="dxa"/>
            <w:gridSpan w:val="3"/>
            <w:noWrap w:val="0"/>
            <w:vAlign w:val="center"/>
          </w:tcPr>
          <w:p w14:paraId="5102A037">
            <w:pPr>
              <w:ind w:firstLine="1440" w:firstLineChars="600"/>
              <w:rPr>
                <w:rFonts w:hint="eastAsia" w:ascii="仿宋" w:hAnsi="仿宋" w:eastAsia="仿宋" w:cs="仿宋"/>
                <w:sz w:val="24"/>
              </w:rPr>
            </w:pPr>
            <w:r>
              <w:rPr>
                <w:rFonts w:hint="eastAsia" w:ascii="仿宋" w:hAnsi="仿宋" w:eastAsia="仿宋" w:cs="仿宋"/>
                <w:sz w:val="24"/>
              </w:rPr>
              <w:t>伤残程度</w:t>
            </w:r>
          </w:p>
        </w:tc>
        <w:tc>
          <w:tcPr>
            <w:tcW w:w="1277" w:type="dxa"/>
            <w:noWrap w:val="0"/>
            <w:vAlign w:val="center"/>
          </w:tcPr>
          <w:p w14:paraId="7C452E53">
            <w:pPr>
              <w:jc w:val="center"/>
              <w:rPr>
                <w:rFonts w:hint="eastAsia" w:ascii="仿宋" w:hAnsi="仿宋" w:eastAsia="仿宋" w:cs="仿宋"/>
                <w:sz w:val="24"/>
              </w:rPr>
            </w:pPr>
            <w:r>
              <w:rPr>
                <w:rFonts w:hint="eastAsia" w:ascii="仿宋" w:hAnsi="仿宋" w:eastAsia="仿宋" w:cs="仿宋"/>
                <w:sz w:val="24"/>
              </w:rPr>
              <w:t>赔付比例</w:t>
            </w:r>
          </w:p>
        </w:tc>
        <w:tc>
          <w:tcPr>
            <w:tcW w:w="1979" w:type="dxa"/>
            <w:gridSpan w:val="3"/>
            <w:noWrap w:val="0"/>
            <w:vAlign w:val="center"/>
          </w:tcPr>
          <w:p w14:paraId="02A89EF0">
            <w:pPr>
              <w:jc w:val="center"/>
              <w:rPr>
                <w:rFonts w:hint="eastAsia" w:ascii="仿宋" w:hAnsi="仿宋" w:eastAsia="仿宋" w:cs="仿宋"/>
                <w:sz w:val="24"/>
              </w:rPr>
            </w:pPr>
            <w:r>
              <w:rPr>
                <w:rFonts w:hint="eastAsia" w:ascii="仿宋" w:hAnsi="仿宋" w:eastAsia="仿宋" w:cs="仿宋"/>
                <w:sz w:val="24"/>
              </w:rPr>
              <w:t>备   注</w:t>
            </w:r>
          </w:p>
        </w:tc>
      </w:tr>
      <w:tr w14:paraId="6C6AD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restart"/>
            <w:noWrap w:val="0"/>
            <w:vAlign w:val="center"/>
          </w:tcPr>
          <w:p w14:paraId="77777159">
            <w:pPr>
              <w:jc w:val="center"/>
              <w:rPr>
                <w:rFonts w:hint="eastAsia" w:ascii="仿宋" w:hAnsi="仿宋" w:eastAsia="仿宋" w:cs="仿宋"/>
                <w:sz w:val="24"/>
              </w:rPr>
            </w:pPr>
            <w:r>
              <w:rPr>
                <w:rFonts w:hint="eastAsia" w:ascii="仿宋" w:hAnsi="仿宋" w:eastAsia="仿宋" w:cs="仿宋"/>
                <w:sz w:val="24"/>
              </w:rPr>
              <w:t>眼</w:t>
            </w:r>
          </w:p>
          <w:p w14:paraId="45FF1DC9">
            <w:pPr>
              <w:jc w:val="center"/>
              <w:rPr>
                <w:rFonts w:hint="eastAsia" w:ascii="仿宋" w:hAnsi="仿宋" w:eastAsia="仿宋" w:cs="仿宋"/>
                <w:sz w:val="24"/>
              </w:rPr>
            </w:pPr>
          </w:p>
          <w:p w14:paraId="2AF00C7D">
            <w:pPr>
              <w:jc w:val="center"/>
              <w:rPr>
                <w:rFonts w:hint="eastAsia" w:ascii="仿宋" w:hAnsi="仿宋" w:eastAsia="仿宋" w:cs="仿宋"/>
                <w:sz w:val="24"/>
              </w:rPr>
            </w:pPr>
            <w:r>
              <w:rPr>
                <w:rFonts w:hint="eastAsia" w:ascii="仿宋" w:hAnsi="仿宋" w:eastAsia="仿宋" w:cs="仿宋"/>
                <w:sz w:val="24"/>
              </w:rPr>
              <w:t>睛</w:t>
            </w:r>
          </w:p>
        </w:tc>
        <w:tc>
          <w:tcPr>
            <w:tcW w:w="4867" w:type="dxa"/>
            <w:gridSpan w:val="3"/>
            <w:noWrap w:val="0"/>
            <w:vAlign w:val="center"/>
          </w:tcPr>
          <w:p w14:paraId="2E7E3C83">
            <w:pPr>
              <w:rPr>
                <w:rFonts w:hint="eastAsia" w:ascii="仿宋" w:hAnsi="仿宋" w:eastAsia="仿宋" w:cs="仿宋"/>
                <w:sz w:val="24"/>
              </w:rPr>
            </w:pPr>
            <w:r>
              <w:rPr>
                <w:rFonts w:hint="eastAsia" w:ascii="仿宋" w:hAnsi="仿宋" w:eastAsia="仿宋" w:cs="仿宋"/>
                <w:sz w:val="24"/>
              </w:rPr>
              <w:t>双目均失明或完全失明</w:t>
            </w:r>
          </w:p>
        </w:tc>
        <w:tc>
          <w:tcPr>
            <w:tcW w:w="1277" w:type="dxa"/>
            <w:noWrap w:val="0"/>
            <w:vAlign w:val="center"/>
          </w:tcPr>
          <w:p w14:paraId="07B140B6">
            <w:pPr>
              <w:jc w:val="center"/>
              <w:rPr>
                <w:rFonts w:hint="eastAsia" w:ascii="仿宋" w:hAnsi="仿宋" w:eastAsia="仿宋" w:cs="仿宋"/>
                <w:sz w:val="24"/>
              </w:rPr>
            </w:pPr>
            <w:r>
              <w:rPr>
                <w:rFonts w:hint="eastAsia" w:ascii="仿宋" w:hAnsi="仿宋" w:eastAsia="仿宋" w:cs="仿宋"/>
                <w:sz w:val="24"/>
              </w:rPr>
              <w:t>100%</w:t>
            </w:r>
          </w:p>
        </w:tc>
        <w:tc>
          <w:tcPr>
            <w:tcW w:w="1979" w:type="dxa"/>
            <w:gridSpan w:val="3"/>
            <w:vMerge w:val="restart"/>
            <w:noWrap w:val="0"/>
            <w:vAlign w:val="center"/>
          </w:tcPr>
          <w:p w14:paraId="60BDF661">
            <w:pPr>
              <w:jc w:val="center"/>
              <w:rPr>
                <w:rFonts w:hint="eastAsia" w:ascii="仿宋" w:hAnsi="仿宋" w:eastAsia="仿宋" w:cs="仿宋"/>
                <w:sz w:val="24"/>
              </w:rPr>
            </w:pPr>
            <w:r>
              <w:rPr>
                <w:rFonts w:hint="eastAsia" w:ascii="仿宋" w:hAnsi="仿宋" w:eastAsia="仿宋" w:cs="仿宋"/>
                <w:sz w:val="24"/>
              </w:rPr>
              <w:t>视力减退</w:t>
            </w:r>
          </w:p>
          <w:p w14:paraId="6E6F56EB">
            <w:pPr>
              <w:jc w:val="center"/>
              <w:rPr>
                <w:rFonts w:hint="eastAsia" w:ascii="仿宋" w:hAnsi="仿宋" w:eastAsia="仿宋" w:cs="仿宋"/>
                <w:sz w:val="24"/>
              </w:rPr>
            </w:pPr>
            <w:r>
              <w:rPr>
                <w:rFonts w:hint="eastAsia" w:ascii="仿宋" w:hAnsi="仿宋" w:eastAsia="仿宋" w:cs="仿宋"/>
                <w:sz w:val="24"/>
              </w:rPr>
              <w:t>包括矫正后</w:t>
            </w:r>
          </w:p>
          <w:p w14:paraId="4A2E3550">
            <w:pPr>
              <w:jc w:val="center"/>
              <w:rPr>
                <w:rFonts w:hint="eastAsia" w:ascii="仿宋" w:hAnsi="仿宋" w:eastAsia="仿宋" w:cs="仿宋"/>
                <w:sz w:val="24"/>
              </w:rPr>
            </w:pPr>
            <w:r>
              <w:rPr>
                <w:rFonts w:hint="eastAsia" w:ascii="仿宋" w:hAnsi="仿宋" w:eastAsia="仿宋" w:cs="仿宋"/>
                <w:sz w:val="24"/>
              </w:rPr>
              <w:t>高于0.05的</w:t>
            </w:r>
          </w:p>
          <w:p w14:paraId="19CE665C">
            <w:pPr>
              <w:jc w:val="center"/>
              <w:rPr>
                <w:rFonts w:hint="eastAsia" w:ascii="仿宋" w:hAnsi="仿宋" w:eastAsia="仿宋" w:cs="仿宋"/>
                <w:sz w:val="24"/>
              </w:rPr>
            </w:pPr>
            <w:r>
              <w:rPr>
                <w:rFonts w:hint="eastAsia" w:ascii="仿宋" w:hAnsi="仿宋" w:eastAsia="仿宋" w:cs="仿宋"/>
                <w:sz w:val="24"/>
              </w:rPr>
              <w:t>不予理赔</w:t>
            </w:r>
          </w:p>
        </w:tc>
      </w:tr>
      <w:tr w14:paraId="0781D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continue"/>
            <w:noWrap w:val="0"/>
            <w:vAlign w:val="center"/>
          </w:tcPr>
          <w:p w14:paraId="5B490A9C">
            <w:pPr>
              <w:jc w:val="center"/>
              <w:rPr>
                <w:rFonts w:hint="eastAsia" w:ascii="仿宋" w:hAnsi="仿宋" w:eastAsia="仿宋" w:cs="仿宋"/>
                <w:sz w:val="24"/>
              </w:rPr>
            </w:pPr>
          </w:p>
        </w:tc>
        <w:tc>
          <w:tcPr>
            <w:tcW w:w="4867" w:type="dxa"/>
            <w:gridSpan w:val="3"/>
            <w:noWrap w:val="0"/>
            <w:vAlign w:val="center"/>
          </w:tcPr>
          <w:p w14:paraId="11A68B01">
            <w:pPr>
              <w:rPr>
                <w:rFonts w:hint="eastAsia" w:ascii="仿宋" w:hAnsi="仿宋" w:eastAsia="仿宋" w:cs="仿宋"/>
                <w:sz w:val="24"/>
              </w:rPr>
            </w:pPr>
            <w:r>
              <w:rPr>
                <w:rFonts w:hint="eastAsia" w:ascii="仿宋" w:hAnsi="仿宋" w:eastAsia="仿宋" w:cs="仿宋"/>
                <w:sz w:val="24"/>
              </w:rPr>
              <w:t>一目丧失或完全失明或一目矫正视力低于0.02</w:t>
            </w:r>
          </w:p>
        </w:tc>
        <w:tc>
          <w:tcPr>
            <w:tcW w:w="1277" w:type="dxa"/>
            <w:noWrap w:val="0"/>
            <w:vAlign w:val="center"/>
          </w:tcPr>
          <w:p w14:paraId="2130E136">
            <w:pPr>
              <w:jc w:val="center"/>
              <w:rPr>
                <w:rFonts w:hint="eastAsia" w:ascii="仿宋" w:hAnsi="仿宋" w:eastAsia="仿宋" w:cs="仿宋"/>
                <w:sz w:val="24"/>
              </w:rPr>
            </w:pPr>
            <w:r>
              <w:rPr>
                <w:rFonts w:hint="eastAsia" w:ascii="仿宋" w:hAnsi="仿宋" w:eastAsia="仿宋" w:cs="仿宋"/>
                <w:sz w:val="24"/>
              </w:rPr>
              <w:t>30%</w:t>
            </w:r>
          </w:p>
        </w:tc>
        <w:tc>
          <w:tcPr>
            <w:tcW w:w="1979" w:type="dxa"/>
            <w:gridSpan w:val="3"/>
            <w:vMerge w:val="continue"/>
            <w:noWrap w:val="0"/>
            <w:vAlign w:val="center"/>
          </w:tcPr>
          <w:p w14:paraId="1C125DF2">
            <w:pPr>
              <w:jc w:val="center"/>
              <w:rPr>
                <w:rFonts w:hint="eastAsia" w:ascii="仿宋" w:hAnsi="仿宋" w:eastAsia="仿宋" w:cs="仿宋"/>
                <w:sz w:val="24"/>
              </w:rPr>
            </w:pPr>
          </w:p>
        </w:tc>
      </w:tr>
      <w:tr w14:paraId="7686E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continue"/>
            <w:noWrap w:val="0"/>
            <w:vAlign w:val="center"/>
          </w:tcPr>
          <w:p w14:paraId="38597202">
            <w:pPr>
              <w:jc w:val="center"/>
              <w:rPr>
                <w:rFonts w:hint="eastAsia" w:ascii="仿宋" w:hAnsi="仿宋" w:eastAsia="仿宋" w:cs="仿宋"/>
                <w:sz w:val="24"/>
              </w:rPr>
            </w:pPr>
          </w:p>
        </w:tc>
        <w:tc>
          <w:tcPr>
            <w:tcW w:w="4867" w:type="dxa"/>
            <w:gridSpan w:val="3"/>
            <w:noWrap w:val="0"/>
            <w:vAlign w:val="center"/>
          </w:tcPr>
          <w:p w14:paraId="4D580519">
            <w:pPr>
              <w:rPr>
                <w:rFonts w:hint="eastAsia" w:ascii="仿宋" w:hAnsi="仿宋" w:eastAsia="仿宋" w:cs="仿宋"/>
                <w:sz w:val="24"/>
              </w:rPr>
            </w:pPr>
            <w:r>
              <w:rPr>
                <w:rFonts w:hint="eastAsia" w:ascii="仿宋" w:hAnsi="仿宋" w:eastAsia="仿宋" w:cs="仿宋"/>
                <w:sz w:val="24"/>
              </w:rPr>
              <w:t>一目矫正视力低于0.05</w:t>
            </w:r>
          </w:p>
        </w:tc>
        <w:tc>
          <w:tcPr>
            <w:tcW w:w="1277" w:type="dxa"/>
            <w:noWrap w:val="0"/>
            <w:vAlign w:val="center"/>
          </w:tcPr>
          <w:p w14:paraId="2E9D293F">
            <w:pPr>
              <w:jc w:val="center"/>
              <w:rPr>
                <w:rFonts w:hint="eastAsia" w:ascii="仿宋" w:hAnsi="仿宋" w:eastAsia="仿宋" w:cs="仿宋"/>
                <w:sz w:val="24"/>
              </w:rPr>
            </w:pPr>
            <w:r>
              <w:rPr>
                <w:rFonts w:hint="eastAsia" w:ascii="仿宋" w:hAnsi="仿宋" w:eastAsia="仿宋" w:cs="仿宋"/>
                <w:sz w:val="24"/>
              </w:rPr>
              <w:t>10%</w:t>
            </w:r>
          </w:p>
        </w:tc>
        <w:tc>
          <w:tcPr>
            <w:tcW w:w="1979" w:type="dxa"/>
            <w:gridSpan w:val="3"/>
            <w:vMerge w:val="continue"/>
            <w:noWrap w:val="0"/>
            <w:vAlign w:val="center"/>
          </w:tcPr>
          <w:p w14:paraId="64490072">
            <w:pPr>
              <w:jc w:val="center"/>
              <w:rPr>
                <w:rFonts w:hint="eastAsia" w:ascii="仿宋" w:hAnsi="仿宋" w:eastAsia="仿宋" w:cs="仿宋"/>
                <w:sz w:val="24"/>
              </w:rPr>
            </w:pPr>
          </w:p>
        </w:tc>
      </w:tr>
      <w:tr w14:paraId="58770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vAlign w:val="center"/>
          </w:tcPr>
          <w:p w14:paraId="74F2BCEC">
            <w:pPr>
              <w:jc w:val="center"/>
              <w:rPr>
                <w:rFonts w:hint="eastAsia" w:ascii="仿宋" w:hAnsi="仿宋" w:eastAsia="仿宋" w:cs="仿宋"/>
                <w:sz w:val="24"/>
              </w:rPr>
            </w:pPr>
            <w:r>
              <w:rPr>
                <w:rFonts w:hint="eastAsia" w:ascii="仿宋" w:hAnsi="仿宋" w:eastAsia="仿宋" w:cs="仿宋"/>
                <w:sz w:val="24"/>
              </w:rPr>
              <w:t>肢</w:t>
            </w:r>
          </w:p>
          <w:p w14:paraId="7DA78EE5">
            <w:pPr>
              <w:jc w:val="center"/>
              <w:rPr>
                <w:rFonts w:hint="eastAsia" w:ascii="仿宋" w:hAnsi="仿宋" w:eastAsia="仿宋" w:cs="仿宋"/>
                <w:sz w:val="24"/>
              </w:rPr>
            </w:pPr>
          </w:p>
          <w:p w14:paraId="3B8E222C">
            <w:pPr>
              <w:jc w:val="center"/>
              <w:rPr>
                <w:rFonts w:hint="eastAsia" w:ascii="仿宋" w:hAnsi="仿宋" w:eastAsia="仿宋" w:cs="仿宋"/>
                <w:sz w:val="24"/>
              </w:rPr>
            </w:pPr>
            <w:r>
              <w:rPr>
                <w:rFonts w:hint="eastAsia" w:ascii="仿宋" w:hAnsi="仿宋" w:eastAsia="仿宋" w:cs="仿宋"/>
                <w:sz w:val="24"/>
              </w:rPr>
              <w:t>体</w:t>
            </w:r>
          </w:p>
        </w:tc>
        <w:tc>
          <w:tcPr>
            <w:tcW w:w="669" w:type="dxa"/>
            <w:vMerge w:val="restart"/>
            <w:noWrap w:val="0"/>
            <w:vAlign w:val="center"/>
          </w:tcPr>
          <w:p w14:paraId="2DAFE9E1">
            <w:pPr>
              <w:jc w:val="center"/>
              <w:rPr>
                <w:rFonts w:hint="eastAsia" w:ascii="仿宋" w:hAnsi="仿宋" w:eastAsia="仿宋" w:cs="仿宋"/>
                <w:sz w:val="24"/>
              </w:rPr>
            </w:pPr>
            <w:r>
              <w:rPr>
                <w:rFonts w:hint="eastAsia" w:ascii="仿宋" w:hAnsi="仿宋" w:eastAsia="仿宋" w:cs="仿宋"/>
                <w:sz w:val="24"/>
              </w:rPr>
              <w:t>上</w:t>
            </w:r>
          </w:p>
          <w:p w14:paraId="4BB3D4D1">
            <w:pPr>
              <w:jc w:val="center"/>
              <w:rPr>
                <w:rFonts w:hint="eastAsia" w:ascii="仿宋" w:hAnsi="仿宋" w:eastAsia="仿宋" w:cs="仿宋"/>
                <w:sz w:val="24"/>
              </w:rPr>
            </w:pPr>
            <w:r>
              <w:rPr>
                <w:rFonts w:hint="eastAsia" w:ascii="仿宋" w:hAnsi="仿宋" w:eastAsia="仿宋" w:cs="仿宋"/>
                <w:sz w:val="24"/>
              </w:rPr>
              <w:t>下</w:t>
            </w:r>
          </w:p>
          <w:p w14:paraId="34EF2FBF">
            <w:pPr>
              <w:jc w:val="center"/>
              <w:rPr>
                <w:rFonts w:hint="eastAsia" w:ascii="仿宋" w:hAnsi="仿宋" w:eastAsia="仿宋" w:cs="仿宋"/>
                <w:sz w:val="24"/>
              </w:rPr>
            </w:pPr>
            <w:r>
              <w:rPr>
                <w:rFonts w:hint="eastAsia" w:ascii="仿宋" w:hAnsi="仿宋" w:eastAsia="仿宋" w:cs="仿宋"/>
                <w:sz w:val="24"/>
              </w:rPr>
              <w:t>肢</w:t>
            </w:r>
          </w:p>
        </w:tc>
        <w:tc>
          <w:tcPr>
            <w:tcW w:w="4867" w:type="dxa"/>
            <w:gridSpan w:val="3"/>
            <w:noWrap w:val="0"/>
            <w:vAlign w:val="center"/>
          </w:tcPr>
          <w:p w14:paraId="3BF82348">
            <w:pPr>
              <w:rPr>
                <w:rFonts w:hint="eastAsia" w:ascii="仿宋" w:hAnsi="仿宋" w:eastAsia="仿宋" w:cs="仿宋"/>
                <w:sz w:val="24"/>
              </w:rPr>
            </w:pPr>
            <w:r>
              <w:rPr>
                <w:rFonts w:hint="eastAsia" w:ascii="仿宋" w:hAnsi="仿宋" w:eastAsia="仿宋" w:cs="仿宋"/>
                <w:sz w:val="24"/>
              </w:rPr>
              <w:t>两上肢自手腕以上或两下肢自踝关节以上缺失</w:t>
            </w:r>
          </w:p>
        </w:tc>
        <w:tc>
          <w:tcPr>
            <w:tcW w:w="1277" w:type="dxa"/>
            <w:noWrap w:val="0"/>
            <w:vAlign w:val="center"/>
          </w:tcPr>
          <w:p w14:paraId="76183AC5">
            <w:pPr>
              <w:jc w:val="center"/>
              <w:rPr>
                <w:rFonts w:hint="eastAsia" w:ascii="仿宋" w:hAnsi="仿宋" w:eastAsia="仿宋" w:cs="仿宋"/>
                <w:sz w:val="24"/>
              </w:rPr>
            </w:pPr>
            <w:r>
              <w:rPr>
                <w:rFonts w:hint="eastAsia" w:ascii="仿宋" w:hAnsi="仿宋" w:eastAsia="仿宋" w:cs="仿宋"/>
                <w:sz w:val="24"/>
              </w:rPr>
              <w:t>100%</w:t>
            </w:r>
          </w:p>
        </w:tc>
        <w:tc>
          <w:tcPr>
            <w:tcW w:w="1979" w:type="dxa"/>
            <w:gridSpan w:val="3"/>
            <w:noWrap w:val="0"/>
            <w:vAlign w:val="center"/>
          </w:tcPr>
          <w:p w14:paraId="758FE44A">
            <w:pPr>
              <w:jc w:val="center"/>
              <w:rPr>
                <w:rFonts w:hint="eastAsia" w:ascii="仿宋" w:hAnsi="仿宋" w:eastAsia="仿宋" w:cs="仿宋"/>
                <w:sz w:val="24"/>
              </w:rPr>
            </w:pPr>
          </w:p>
        </w:tc>
      </w:tr>
      <w:tr w14:paraId="5B8E8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7B2DF5E3">
            <w:pPr>
              <w:jc w:val="center"/>
              <w:rPr>
                <w:rFonts w:hint="eastAsia" w:ascii="仿宋" w:hAnsi="仿宋" w:eastAsia="仿宋" w:cs="仿宋"/>
                <w:sz w:val="24"/>
              </w:rPr>
            </w:pPr>
          </w:p>
        </w:tc>
        <w:tc>
          <w:tcPr>
            <w:tcW w:w="669" w:type="dxa"/>
            <w:vMerge w:val="continue"/>
            <w:noWrap w:val="0"/>
            <w:vAlign w:val="center"/>
          </w:tcPr>
          <w:p w14:paraId="072C8A33">
            <w:pPr>
              <w:jc w:val="center"/>
              <w:rPr>
                <w:rFonts w:hint="eastAsia" w:ascii="仿宋" w:hAnsi="仿宋" w:eastAsia="仿宋" w:cs="仿宋"/>
                <w:sz w:val="24"/>
              </w:rPr>
            </w:pPr>
          </w:p>
        </w:tc>
        <w:tc>
          <w:tcPr>
            <w:tcW w:w="4867" w:type="dxa"/>
            <w:gridSpan w:val="3"/>
            <w:noWrap w:val="0"/>
            <w:vAlign w:val="center"/>
          </w:tcPr>
          <w:p w14:paraId="2CC8B76B">
            <w:pPr>
              <w:rPr>
                <w:rFonts w:hint="eastAsia" w:ascii="仿宋" w:hAnsi="仿宋" w:eastAsia="仿宋" w:cs="仿宋"/>
                <w:sz w:val="24"/>
              </w:rPr>
            </w:pPr>
            <w:r>
              <w:rPr>
                <w:rFonts w:hint="eastAsia" w:ascii="仿宋" w:hAnsi="仿宋" w:eastAsia="仿宋" w:cs="仿宋"/>
                <w:sz w:val="24"/>
              </w:rPr>
              <w:t>一上肢自手腕以上或一下肢自踝关节以上缺失</w:t>
            </w:r>
          </w:p>
        </w:tc>
        <w:tc>
          <w:tcPr>
            <w:tcW w:w="1277" w:type="dxa"/>
            <w:noWrap w:val="0"/>
            <w:vAlign w:val="center"/>
          </w:tcPr>
          <w:p w14:paraId="2E583180">
            <w:pPr>
              <w:jc w:val="center"/>
              <w:rPr>
                <w:rFonts w:hint="eastAsia" w:ascii="仿宋" w:hAnsi="仿宋" w:eastAsia="仿宋" w:cs="仿宋"/>
                <w:sz w:val="24"/>
              </w:rPr>
            </w:pPr>
            <w:r>
              <w:rPr>
                <w:rFonts w:hint="eastAsia" w:ascii="仿宋" w:hAnsi="仿宋" w:eastAsia="仿宋" w:cs="仿宋"/>
                <w:sz w:val="24"/>
              </w:rPr>
              <w:t>50%</w:t>
            </w:r>
          </w:p>
        </w:tc>
        <w:tc>
          <w:tcPr>
            <w:tcW w:w="1979" w:type="dxa"/>
            <w:gridSpan w:val="3"/>
            <w:noWrap w:val="0"/>
            <w:vAlign w:val="center"/>
          </w:tcPr>
          <w:p w14:paraId="05569CFD">
            <w:pPr>
              <w:jc w:val="center"/>
              <w:rPr>
                <w:rFonts w:hint="eastAsia" w:ascii="仿宋" w:hAnsi="仿宋" w:eastAsia="仿宋" w:cs="仿宋"/>
                <w:sz w:val="24"/>
              </w:rPr>
            </w:pPr>
          </w:p>
        </w:tc>
      </w:tr>
      <w:tr w14:paraId="7B1EA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47860E93">
            <w:pPr>
              <w:jc w:val="center"/>
              <w:rPr>
                <w:rFonts w:hint="eastAsia" w:ascii="仿宋" w:hAnsi="仿宋" w:eastAsia="仿宋" w:cs="仿宋"/>
                <w:sz w:val="24"/>
              </w:rPr>
            </w:pPr>
          </w:p>
        </w:tc>
        <w:tc>
          <w:tcPr>
            <w:tcW w:w="669" w:type="dxa"/>
            <w:vMerge w:val="continue"/>
            <w:noWrap w:val="0"/>
            <w:vAlign w:val="center"/>
          </w:tcPr>
          <w:p w14:paraId="49B486FB">
            <w:pPr>
              <w:jc w:val="center"/>
              <w:rPr>
                <w:rFonts w:hint="eastAsia" w:ascii="仿宋" w:hAnsi="仿宋" w:eastAsia="仿宋" w:cs="仿宋"/>
                <w:sz w:val="24"/>
              </w:rPr>
            </w:pPr>
          </w:p>
        </w:tc>
        <w:tc>
          <w:tcPr>
            <w:tcW w:w="4867" w:type="dxa"/>
            <w:gridSpan w:val="3"/>
            <w:noWrap w:val="0"/>
            <w:vAlign w:val="center"/>
          </w:tcPr>
          <w:p w14:paraId="6F29F613">
            <w:pPr>
              <w:rPr>
                <w:rFonts w:hint="eastAsia" w:ascii="仿宋" w:hAnsi="仿宋" w:eastAsia="仿宋" w:cs="仿宋"/>
                <w:sz w:val="24"/>
              </w:rPr>
            </w:pPr>
            <w:r>
              <w:rPr>
                <w:rFonts w:hint="eastAsia" w:ascii="仿宋" w:hAnsi="仿宋" w:eastAsia="仿宋" w:cs="仿宋"/>
                <w:sz w:val="24"/>
              </w:rPr>
              <w:t>一肢粉碎性骨折,伴肢体一处关节功能丧失</w:t>
            </w:r>
          </w:p>
        </w:tc>
        <w:tc>
          <w:tcPr>
            <w:tcW w:w="1277" w:type="dxa"/>
            <w:noWrap w:val="0"/>
            <w:vAlign w:val="center"/>
          </w:tcPr>
          <w:p w14:paraId="7A353820">
            <w:pPr>
              <w:jc w:val="center"/>
              <w:rPr>
                <w:rFonts w:hint="eastAsia" w:ascii="仿宋" w:hAnsi="仿宋" w:eastAsia="仿宋" w:cs="仿宋"/>
                <w:sz w:val="24"/>
              </w:rPr>
            </w:pPr>
            <w:r>
              <w:rPr>
                <w:rFonts w:hint="eastAsia" w:ascii="仿宋" w:hAnsi="仿宋" w:eastAsia="仿宋" w:cs="仿宋"/>
                <w:sz w:val="24"/>
              </w:rPr>
              <w:t>15%</w:t>
            </w:r>
          </w:p>
        </w:tc>
        <w:tc>
          <w:tcPr>
            <w:tcW w:w="1979" w:type="dxa"/>
            <w:gridSpan w:val="3"/>
            <w:noWrap w:val="0"/>
            <w:vAlign w:val="center"/>
          </w:tcPr>
          <w:p w14:paraId="27708E7A">
            <w:pPr>
              <w:jc w:val="center"/>
              <w:rPr>
                <w:rFonts w:hint="eastAsia" w:ascii="仿宋" w:hAnsi="仿宋" w:eastAsia="仿宋" w:cs="仿宋"/>
                <w:sz w:val="24"/>
              </w:rPr>
            </w:pPr>
          </w:p>
        </w:tc>
      </w:tr>
      <w:tr w14:paraId="0BE22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4E3EAF58">
            <w:pPr>
              <w:jc w:val="center"/>
              <w:rPr>
                <w:rFonts w:hint="eastAsia" w:ascii="仿宋" w:hAnsi="仿宋" w:eastAsia="仿宋" w:cs="仿宋"/>
                <w:sz w:val="24"/>
              </w:rPr>
            </w:pPr>
          </w:p>
        </w:tc>
        <w:tc>
          <w:tcPr>
            <w:tcW w:w="669" w:type="dxa"/>
            <w:vMerge w:val="continue"/>
            <w:noWrap w:val="0"/>
            <w:vAlign w:val="center"/>
          </w:tcPr>
          <w:p w14:paraId="6E0D9D03">
            <w:pPr>
              <w:jc w:val="center"/>
              <w:rPr>
                <w:rFonts w:hint="eastAsia" w:ascii="仿宋" w:hAnsi="仿宋" w:eastAsia="仿宋" w:cs="仿宋"/>
                <w:sz w:val="24"/>
              </w:rPr>
            </w:pPr>
          </w:p>
        </w:tc>
        <w:tc>
          <w:tcPr>
            <w:tcW w:w="4867" w:type="dxa"/>
            <w:gridSpan w:val="3"/>
            <w:noWrap w:val="0"/>
            <w:vAlign w:val="center"/>
          </w:tcPr>
          <w:p w14:paraId="53ED7F49">
            <w:pPr>
              <w:rPr>
                <w:rFonts w:hint="eastAsia" w:ascii="仿宋" w:hAnsi="仿宋" w:eastAsia="仿宋" w:cs="仿宋"/>
                <w:sz w:val="24"/>
              </w:rPr>
            </w:pPr>
            <w:r>
              <w:rPr>
                <w:rFonts w:hint="eastAsia" w:ascii="仿宋" w:hAnsi="仿宋" w:eastAsia="仿宋" w:cs="仿宋"/>
                <w:sz w:val="24"/>
              </w:rPr>
              <w:t>一肢(包括手或足掌骨)粉碎性或一肢开放性骨折</w:t>
            </w:r>
          </w:p>
        </w:tc>
        <w:tc>
          <w:tcPr>
            <w:tcW w:w="1277" w:type="dxa"/>
            <w:noWrap w:val="0"/>
            <w:vAlign w:val="center"/>
          </w:tcPr>
          <w:p w14:paraId="328D20AE">
            <w:pPr>
              <w:jc w:val="center"/>
              <w:rPr>
                <w:rFonts w:hint="eastAsia" w:ascii="仿宋" w:hAnsi="仿宋" w:eastAsia="仿宋" w:cs="仿宋"/>
                <w:sz w:val="24"/>
              </w:rPr>
            </w:pPr>
            <w:r>
              <w:rPr>
                <w:rFonts w:hint="eastAsia" w:ascii="仿宋" w:hAnsi="仿宋" w:eastAsia="仿宋" w:cs="仿宋"/>
                <w:sz w:val="24"/>
              </w:rPr>
              <w:t>10%</w:t>
            </w:r>
          </w:p>
        </w:tc>
        <w:tc>
          <w:tcPr>
            <w:tcW w:w="1979" w:type="dxa"/>
            <w:gridSpan w:val="3"/>
            <w:noWrap w:val="0"/>
            <w:vAlign w:val="center"/>
          </w:tcPr>
          <w:p w14:paraId="35A029E6">
            <w:pPr>
              <w:jc w:val="center"/>
              <w:rPr>
                <w:rFonts w:hint="eastAsia" w:ascii="仿宋" w:hAnsi="仿宋" w:eastAsia="仿宋" w:cs="仿宋"/>
                <w:sz w:val="24"/>
              </w:rPr>
            </w:pPr>
          </w:p>
        </w:tc>
      </w:tr>
      <w:tr w14:paraId="0A6F1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66056DC4">
            <w:pPr>
              <w:jc w:val="center"/>
              <w:rPr>
                <w:rFonts w:hint="eastAsia" w:ascii="仿宋" w:hAnsi="仿宋" w:eastAsia="仿宋" w:cs="仿宋"/>
                <w:sz w:val="24"/>
              </w:rPr>
            </w:pPr>
          </w:p>
        </w:tc>
        <w:tc>
          <w:tcPr>
            <w:tcW w:w="669" w:type="dxa"/>
            <w:vMerge w:val="continue"/>
            <w:noWrap w:val="0"/>
            <w:vAlign w:val="center"/>
          </w:tcPr>
          <w:p w14:paraId="3B0C4E04">
            <w:pPr>
              <w:jc w:val="center"/>
              <w:rPr>
                <w:rFonts w:hint="eastAsia" w:ascii="仿宋" w:hAnsi="仿宋" w:eastAsia="仿宋" w:cs="仿宋"/>
                <w:sz w:val="24"/>
              </w:rPr>
            </w:pPr>
          </w:p>
        </w:tc>
        <w:tc>
          <w:tcPr>
            <w:tcW w:w="4867" w:type="dxa"/>
            <w:gridSpan w:val="3"/>
            <w:noWrap w:val="0"/>
            <w:vAlign w:val="center"/>
          </w:tcPr>
          <w:p w14:paraId="2EBD598F">
            <w:pPr>
              <w:rPr>
                <w:rFonts w:hint="eastAsia" w:ascii="仿宋" w:hAnsi="仿宋" w:eastAsia="仿宋" w:cs="仿宋"/>
                <w:sz w:val="24"/>
              </w:rPr>
            </w:pPr>
            <w:r>
              <w:rPr>
                <w:rFonts w:hint="eastAsia" w:ascii="仿宋" w:hAnsi="仿宋" w:eastAsia="仿宋" w:cs="仿宋"/>
                <w:sz w:val="24"/>
              </w:rPr>
              <w:t>一肢骨折(包括手或足掌骨)</w:t>
            </w:r>
          </w:p>
        </w:tc>
        <w:tc>
          <w:tcPr>
            <w:tcW w:w="1277" w:type="dxa"/>
            <w:noWrap w:val="0"/>
            <w:vAlign w:val="center"/>
          </w:tcPr>
          <w:p w14:paraId="14CE6CF5">
            <w:pPr>
              <w:jc w:val="center"/>
              <w:rPr>
                <w:rFonts w:hint="eastAsia" w:ascii="仿宋" w:hAnsi="仿宋" w:eastAsia="仿宋" w:cs="仿宋"/>
                <w:sz w:val="24"/>
              </w:rPr>
            </w:pPr>
            <w:r>
              <w:rPr>
                <w:rFonts w:hint="eastAsia" w:ascii="仿宋" w:hAnsi="仿宋" w:eastAsia="仿宋" w:cs="仿宋"/>
                <w:sz w:val="24"/>
              </w:rPr>
              <w:t>5%</w:t>
            </w:r>
          </w:p>
        </w:tc>
        <w:tc>
          <w:tcPr>
            <w:tcW w:w="1979" w:type="dxa"/>
            <w:gridSpan w:val="3"/>
            <w:noWrap w:val="0"/>
            <w:vAlign w:val="center"/>
          </w:tcPr>
          <w:p w14:paraId="2D516042">
            <w:pPr>
              <w:jc w:val="center"/>
              <w:rPr>
                <w:rFonts w:hint="eastAsia" w:ascii="仿宋" w:hAnsi="仿宋" w:eastAsia="仿宋" w:cs="仿宋"/>
                <w:sz w:val="24"/>
              </w:rPr>
            </w:pPr>
          </w:p>
        </w:tc>
      </w:tr>
      <w:tr w14:paraId="43ED8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3B222ADC">
            <w:pPr>
              <w:jc w:val="center"/>
              <w:rPr>
                <w:rFonts w:hint="eastAsia" w:ascii="仿宋" w:hAnsi="仿宋" w:eastAsia="仿宋" w:cs="仿宋"/>
                <w:sz w:val="24"/>
              </w:rPr>
            </w:pPr>
          </w:p>
        </w:tc>
        <w:tc>
          <w:tcPr>
            <w:tcW w:w="669" w:type="dxa"/>
            <w:vMerge w:val="restart"/>
            <w:noWrap w:val="0"/>
            <w:vAlign w:val="center"/>
          </w:tcPr>
          <w:p w14:paraId="4CD2937C">
            <w:pPr>
              <w:jc w:val="center"/>
              <w:rPr>
                <w:rFonts w:hint="eastAsia" w:ascii="仿宋" w:hAnsi="仿宋" w:eastAsia="仿宋" w:cs="仿宋"/>
                <w:sz w:val="24"/>
              </w:rPr>
            </w:pPr>
            <w:r>
              <w:rPr>
                <w:rFonts w:hint="eastAsia" w:ascii="仿宋" w:hAnsi="仿宋" w:eastAsia="仿宋" w:cs="仿宋"/>
                <w:sz w:val="24"/>
              </w:rPr>
              <w:t>手</w:t>
            </w:r>
          </w:p>
          <w:p w14:paraId="7BD5B9E2">
            <w:pPr>
              <w:jc w:val="center"/>
              <w:rPr>
                <w:rFonts w:hint="eastAsia" w:ascii="仿宋" w:hAnsi="仿宋" w:eastAsia="仿宋" w:cs="仿宋"/>
                <w:sz w:val="24"/>
              </w:rPr>
            </w:pPr>
          </w:p>
          <w:p w14:paraId="17D69952">
            <w:pPr>
              <w:jc w:val="center"/>
              <w:rPr>
                <w:rFonts w:hint="eastAsia" w:ascii="仿宋" w:hAnsi="仿宋" w:eastAsia="仿宋" w:cs="仿宋"/>
                <w:sz w:val="24"/>
              </w:rPr>
            </w:pPr>
          </w:p>
          <w:p w14:paraId="2A151FDD">
            <w:pPr>
              <w:jc w:val="center"/>
              <w:rPr>
                <w:rFonts w:hint="eastAsia" w:ascii="仿宋" w:hAnsi="仿宋" w:eastAsia="仿宋" w:cs="仿宋"/>
                <w:sz w:val="24"/>
              </w:rPr>
            </w:pPr>
            <w:r>
              <w:rPr>
                <w:rFonts w:hint="eastAsia" w:ascii="仿宋" w:hAnsi="仿宋" w:eastAsia="仿宋" w:cs="仿宋"/>
                <w:sz w:val="24"/>
              </w:rPr>
              <w:t>指</w:t>
            </w:r>
          </w:p>
        </w:tc>
        <w:tc>
          <w:tcPr>
            <w:tcW w:w="4867" w:type="dxa"/>
            <w:gridSpan w:val="3"/>
            <w:noWrap w:val="0"/>
            <w:vAlign w:val="center"/>
          </w:tcPr>
          <w:p w14:paraId="7A98D2AA">
            <w:pPr>
              <w:rPr>
                <w:rFonts w:hint="eastAsia" w:ascii="仿宋" w:hAnsi="仿宋" w:eastAsia="仿宋" w:cs="仿宋"/>
                <w:sz w:val="24"/>
              </w:rPr>
            </w:pPr>
            <w:r>
              <w:rPr>
                <w:rFonts w:hint="eastAsia" w:ascii="仿宋" w:hAnsi="仿宋" w:eastAsia="仿宋" w:cs="仿宋"/>
                <w:sz w:val="24"/>
              </w:rPr>
              <w:t>十个手指缺失</w:t>
            </w:r>
          </w:p>
        </w:tc>
        <w:tc>
          <w:tcPr>
            <w:tcW w:w="1277" w:type="dxa"/>
            <w:noWrap w:val="0"/>
            <w:vAlign w:val="center"/>
          </w:tcPr>
          <w:p w14:paraId="6910811F">
            <w:pPr>
              <w:jc w:val="center"/>
              <w:rPr>
                <w:rFonts w:hint="eastAsia" w:ascii="仿宋" w:hAnsi="仿宋" w:eastAsia="仿宋" w:cs="仿宋"/>
                <w:sz w:val="24"/>
              </w:rPr>
            </w:pPr>
            <w:r>
              <w:rPr>
                <w:rFonts w:hint="eastAsia" w:ascii="仿宋" w:hAnsi="仿宋" w:eastAsia="仿宋" w:cs="仿宋"/>
                <w:sz w:val="24"/>
              </w:rPr>
              <w:t>75%</w:t>
            </w:r>
          </w:p>
        </w:tc>
        <w:tc>
          <w:tcPr>
            <w:tcW w:w="1979" w:type="dxa"/>
            <w:gridSpan w:val="3"/>
            <w:vMerge w:val="restart"/>
            <w:noWrap w:val="0"/>
            <w:vAlign w:val="center"/>
          </w:tcPr>
          <w:p w14:paraId="731A39A8">
            <w:pPr>
              <w:jc w:val="center"/>
              <w:rPr>
                <w:rFonts w:hint="eastAsia" w:ascii="仿宋" w:hAnsi="仿宋" w:eastAsia="仿宋" w:cs="仿宋"/>
                <w:sz w:val="24"/>
              </w:rPr>
            </w:pPr>
            <w:r>
              <w:rPr>
                <w:rFonts w:hint="eastAsia" w:ascii="仿宋" w:hAnsi="仿宋" w:eastAsia="仿宋" w:cs="仿宋"/>
                <w:sz w:val="24"/>
              </w:rPr>
              <w:t>仅缺失手指一节或两节的,按完全缺失的50%理赔，断指再接的按缺失的50%理赔</w:t>
            </w:r>
          </w:p>
        </w:tc>
      </w:tr>
      <w:tr w14:paraId="26D62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5A3F17B4">
            <w:pPr>
              <w:jc w:val="center"/>
              <w:rPr>
                <w:rFonts w:hint="eastAsia" w:ascii="仿宋" w:hAnsi="仿宋" w:eastAsia="仿宋" w:cs="仿宋"/>
                <w:sz w:val="24"/>
              </w:rPr>
            </w:pPr>
          </w:p>
        </w:tc>
        <w:tc>
          <w:tcPr>
            <w:tcW w:w="669" w:type="dxa"/>
            <w:vMerge w:val="continue"/>
            <w:noWrap w:val="0"/>
            <w:vAlign w:val="center"/>
          </w:tcPr>
          <w:p w14:paraId="113B738A">
            <w:pPr>
              <w:jc w:val="center"/>
              <w:rPr>
                <w:rFonts w:hint="eastAsia" w:ascii="仿宋" w:hAnsi="仿宋" w:eastAsia="仿宋" w:cs="仿宋"/>
                <w:sz w:val="24"/>
              </w:rPr>
            </w:pPr>
          </w:p>
        </w:tc>
        <w:tc>
          <w:tcPr>
            <w:tcW w:w="4867" w:type="dxa"/>
            <w:gridSpan w:val="3"/>
            <w:noWrap w:val="0"/>
            <w:vAlign w:val="center"/>
          </w:tcPr>
          <w:p w14:paraId="12DAE2CA">
            <w:pPr>
              <w:rPr>
                <w:rFonts w:hint="eastAsia" w:ascii="仿宋" w:hAnsi="仿宋" w:eastAsia="仿宋" w:cs="仿宋"/>
                <w:sz w:val="24"/>
              </w:rPr>
            </w:pPr>
            <w:r>
              <w:rPr>
                <w:rFonts w:hint="eastAsia" w:ascii="仿宋" w:hAnsi="仿宋" w:eastAsia="仿宋" w:cs="仿宋"/>
                <w:sz w:val="24"/>
              </w:rPr>
              <w:t>十个手指功能完全丧失</w:t>
            </w:r>
          </w:p>
        </w:tc>
        <w:tc>
          <w:tcPr>
            <w:tcW w:w="1277" w:type="dxa"/>
            <w:noWrap w:val="0"/>
            <w:vAlign w:val="center"/>
          </w:tcPr>
          <w:p w14:paraId="79459540">
            <w:pPr>
              <w:jc w:val="center"/>
              <w:rPr>
                <w:rFonts w:hint="eastAsia" w:ascii="仿宋" w:hAnsi="仿宋" w:eastAsia="仿宋" w:cs="仿宋"/>
                <w:sz w:val="24"/>
              </w:rPr>
            </w:pPr>
            <w:r>
              <w:rPr>
                <w:rFonts w:hint="eastAsia" w:ascii="仿宋" w:hAnsi="仿宋" w:eastAsia="仿宋" w:cs="仿宋"/>
                <w:sz w:val="24"/>
              </w:rPr>
              <w:t>50%</w:t>
            </w:r>
          </w:p>
        </w:tc>
        <w:tc>
          <w:tcPr>
            <w:tcW w:w="1979" w:type="dxa"/>
            <w:gridSpan w:val="3"/>
            <w:vMerge w:val="continue"/>
            <w:noWrap w:val="0"/>
            <w:vAlign w:val="center"/>
          </w:tcPr>
          <w:p w14:paraId="75A69C8C">
            <w:pPr>
              <w:jc w:val="center"/>
              <w:rPr>
                <w:rFonts w:hint="eastAsia" w:ascii="仿宋" w:hAnsi="仿宋" w:eastAsia="仿宋" w:cs="仿宋"/>
                <w:sz w:val="24"/>
              </w:rPr>
            </w:pPr>
          </w:p>
        </w:tc>
      </w:tr>
      <w:tr w14:paraId="504E0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1CB606B7">
            <w:pPr>
              <w:jc w:val="center"/>
              <w:rPr>
                <w:rFonts w:hint="eastAsia" w:ascii="仿宋" w:hAnsi="仿宋" w:eastAsia="仿宋" w:cs="仿宋"/>
                <w:sz w:val="24"/>
              </w:rPr>
            </w:pPr>
          </w:p>
        </w:tc>
        <w:tc>
          <w:tcPr>
            <w:tcW w:w="669" w:type="dxa"/>
            <w:vMerge w:val="continue"/>
            <w:noWrap w:val="0"/>
            <w:vAlign w:val="center"/>
          </w:tcPr>
          <w:p w14:paraId="19DE5A6E">
            <w:pPr>
              <w:jc w:val="center"/>
              <w:rPr>
                <w:rFonts w:hint="eastAsia" w:ascii="仿宋" w:hAnsi="仿宋" w:eastAsia="仿宋" w:cs="仿宋"/>
                <w:sz w:val="24"/>
              </w:rPr>
            </w:pPr>
          </w:p>
        </w:tc>
        <w:tc>
          <w:tcPr>
            <w:tcW w:w="4867" w:type="dxa"/>
            <w:gridSpan w:val="3"/>
            <w:noWrap w:val="0"/>
            <w:vAlign w:val="center"/>
          </w:tcPr>
          <w:p w14:paraId="195DD692">
            <w:pPr>
              <w:rPr>
                <w:rFonts w:hint="eastAsia" w:ascii="仿宋" w:hAnsi="仿宋" w:eastAsia="仿宋" w:cs="仿宋"/>
                <w:sz w:val="24"/>
              </w:rPr>
            </w:pPr>
            <w:r>
              <w:rPr>
                <w:rFonts w:hint="eastAsia" w:ascii="仿宋" w:hAnsi="仿宋" w:eastAsia="仿宋" w:cs="仿宋"/>
                <w:sz w:val="24"/>
              </w:rPr>
              <w:t>一个拇指缺失</w:t>
            </w:r>
          </w:p>
        </w:tc>
        <w:tc>
          <w:tcPr>
            <w:tcW w:w="1277" w:type="dxa"/>
            <w:noWrap w:val="0"/>
            <w:vAlign w:val="center"/>
          </w:tcPr>
          <w:p w14:paraId="7330694F">
            <w:pPr>
              <w:jc w:val="center"/>
              <w:rPr>
                <w:rFonts w:hint="eastAsia" w:ascii="仿宋" w:hAnsi="仿宋" w:eastAsia="仿宋" w:cs="仿宋"/>
                <w:sz w:val="24"/>
              </w:rPr>
            </w:pPr>
            <w:r>
              <w:rPr>
                <w:rFonts w:hint="eastAsia" w:ascii="仿宋" w:hAnsi="仿宋" w:eastAsia="仿宋" w:cs="仿宋"/>
                <w:sz w:val="24"/>
              </w:rPr>
              <w:t>10%</w:t>
            </w:r>
          </w:p>
        </w:tc>
        <w:tc>
          <w:tcPr>
            <w:tcW w:w="1979" w:type="dxa"/>
            <w:gridSpan w:val="3"/>
            <w:vMerge w:val="continue"/>
            <w:noWrap w:val="0"/>
            <w:vAlign w:val="center"/>
          </w:tcPr>
          <w:p w14:paraId="17F33F35">
            <w:pPr>
              <w:jc w:val="center"/>
              <w:rPr>
                <w:rFonts w:hint="eastAsia" w:ascii="仿宋" w:hAnsi="仿宋" w:eastAsia="仿宋" w:cs="仿宋"/>
                <w:sz w:val="24"/>
              </w:rPr>
            </w:pPr>
          </w:p>
        </w:tc>
      </w:tr>
      <w:tr w14:paraId="6CD7C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39449D39">
            <w:pPr>
              <w:jc w:val="center"/>
              <w:rPr>
                <w:rFonts w:hint="eastAsia" w:ascii="仿宋" w:hAnsi="仿宋" w:eastAsia="仿宋" w:cs="仿宋"/>
                <w:sz w:val="24"/>
              </w:rPr>
            </w:pPr>
          </w:p>
        </w:tc>
        <w:tc>
          <w:tcPr>
            <w:tcW w:w="669" w:type="dxa"/>
            <w:vMerge w:val="continue"/>
            <w:noWrap w:val="0"/>
            <w:vAlign w:val="center"/>
          </w:tcPr>
          <w:p w14:paraId="0C4AF2AB">
            <w:pPr>
              <w:jc w:val="center"/>
              <w:rPr>
                <w:rFonts w:hint="eastAsia" w:ascii="仿宋" w:hAnsi="仿宋" w:eastAsia="仿宋" w:cs="仿宋"/>
                <w:sz w:val="24"/>
              </w:rPr>
            </w:pPr>
          </w:p>
        </w:tc>
        <w:tc>
          <w:tcPr>
            <w:tcW w:w="4867" w:type="dxa"/>
            <w:gridSpan w:val="3"/>
            <w:noWrap w:val="0"/>
            <w:vAlign w:val="center"/>
          </w:tcPr>
          <w:p w14:paraId="035A91D9">
            <w:pPr>
              <w:rPr>
                <w:rFonts w:hint="eastAsia" w:ascii="仿宋" w:hAnsi="仿宋" w:eastAsia="仿宋" w:cs="仿宋"/>
                <w:sz w:val="24"/>
              </w:rPr>
            </w:pPr>
            <w:r>
              <w:rPr>
                <w:rFonts w:hint="eastAsia" w:ascii="仿宋" w:hAnsi="仿宋" w:eastAsia="仿宋" w:cs="仿宋"/>
                <w:sz w:val="24"/>
              </w:rPr>
              <w:t>除拇指外，每缺失一指</w:t>
            </w:r>
          </w:p>
        </w:tc>
        <w:tc>
          <w:tcPr>
            <w:tcW w:w="1277" w:type="dxa"/>
            <w:noWrap w:val="0"/>
            <w:vAlign w:val="center"/>
          </w:tcPr>
          <w:p w14:paraId="50E4EBE4">
            <w:pPr>
              <w:jc w:val="center"/>
              <w:rPr>
                <w:rFonts w:hint="eastAsia" w:ascii="仿宋" w:hAnsi="仿宋" w:eastAsia="仿宋" w:cs="仿宋"/>
                <w:color w:val="000000"/>
                <w:sz w:val="24"/>
              </w:rPr>
            </w:pPr>
            <w:r>
              <w:rPr>
                <w:rFonts w:hint="eastAsia" w:ascii="仿宋" w:hAnsi="仿宋" w:eastAsia="仿宋" w:cs="仿宋"/>
                <w:color w:val="000000"/>
                <w:sz w:val="24"/>
              </w:rPr>
              <w:t>5</w:t>
            </w:r>
            <w:r>
              <w:rPr>
                <w:rFonts w:hint="eastAsia" w:ascii="仿宋" w:hAnsi="仿宋" w:eastAsia="仿宋" w:cs="仿宋"/>
                <w:sz w:val="24"/>
              </w:rPr>
              <w:t>%</w:t>
            </w:r>
          </w:p>
        </w:tc>
        <w:tc>
          <w:tcPr>
            <w:tcW w:w="1979" w:type="dxa"/>
            <w:gridSpan w:val="3"/>
            <w:vMerge w:val="continue"/>
            <w:noWrap w:val="0"/>
            <w:vAlign w:val="center"/>
          </w:tcPr>
          <w:p w14:paraId="50C87255">
            <w:pPr>
              <w:jc w:val="center"/>
              <w:rPr>
                <w:rFonts w:hint="eastAsia" w:ascii="仿宋" w:hAnsi="仿宋" w:eastAsia="仿宋" w:cs="仿宋"/>
                <w:sz w:val="24"/>
              </w:rPr>
            </w:pPr>
          </w:p>
        </w:tc>
      </w:tr>
      <w:tr w14:paraId="45B08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58CBE2EB">
            <w:pPr>
              <w:jc w:val="center"/>
              <w:rPr>
                <w:rFonts w:hint="eastAsia" w:ascii="仿宋" w:hAnsi="仿宋" w:eastAsia="仿宋" w:cs="仿宋"/>
                <w:sz w:val="24"/>
              </w:rPr>
            </w:pPr>
          </w:p>
        </w:tc>
        <w:tc>
          <w:tcPr>
            <w:tcW w:w="669" w:type="dxa"/>
            <w:vMerge w:val="continue"/>
            <w:noWrap w:val="0"/>
            <w:vAlign w:val="center"/>
          </w:tcPr>
          <w:p w14:paraId="77D6009B">
            <w:pPr>
              <w:jc w:val="center"/>
              <w:rPr>
                <w:rFonts w:hint="eastAsia" w:ascii="仿宋" w:hAnsi="仿宋" w:eastAsia="仿宋" w:cs="仿宋"/>
                <w:sz w:val="24"/>
              </w:rPr>
            </w:pPr>
          </w:p>
        </w:tc>
        <w:tc>
          <w:tcPr>
            <w:tcW w:w="4867" w:type="dxa"/>
            <w:gridSpan w:val="3"/>
            <w:noWrap w:val="0"/>
            <w:vAlign w:val="center"/>
          </w:tcPr>
          <w:p w14:paraId="1E039C20">
            <w:pPr>
              <w:rPr>
                <w:rFonts w:hint="eastAsia" w:ascii="仿宋" w:hAnsi="仿宋" w:eastAsia="仿宋" w:cs="仿宋"/>
                <w:sz w:val="24"/>
              </w:rPr>
            </w:pPr>
            <w:r>
              <w:rPr>
                <w:rFonts w:hint="eastAsia" w:ascii="仿宋" w:hAnsi="仿宋" w:eastAsia="仿宋" w:cs="仿宋"/>
                <w:sz w:val="24"/>
              </w:rPr>
              <w:t>一指骨折</w:t>
            </w:r>
          </w:p>
        </w:tc>
        <w:tc>
          <w:tcPr>
            <w:tcW w:w="1277" w:type="dxa"/>
            <w:noWrap w:val="0"/>
            <w:vAlign w:val="center"/>
          </w:tcPr>
          <w:p w14:paraId="327707BE">
            <w:pPr>
              <w:jc w:val="center"/>
              <w:rPr>
                <w:rFonts w:hint="eastAsia" w:ascii="仿宋" w:hAnsi="仿宋" w:eastAsia="仿宋" w:cs="仿宋"/>
                <w:sz w:val="24"/>
              </w:rPr>
            </w:pPr>
            <w:r>
              <w:rPr>
                <w:rFonts w:hint="eastAsia" w:ascii="仿宋" w:hAnsi="仿宋" w:eastAsia="仿宋" w:cs="仿宋"/>
                <w:sz w:val="24"/>
              </w:rPr>
              <w:t>1%</w:t>
            </w:r>
          </w:p>
        </w:tc>
        <w:tc>
          <w:tcPr>
            <w:tcW w:w="1979" w:type="dxa"/>
            <w:gridSpan w:val="3"/>
            <w:vMerge w:val="continue"/>
            <w:noWrap w:val="0"/>
            <w:vAlign w:val="center"/>
          </w:tcPr>
          <w:p w14:paraId="7D776D77">
            <w:pPr>
              <w:jc w:val="center"/>
              <w:rPr>
                <w:rFonts w:hint="eastAsia" w:ascii="仿宋" w:hAnsi="仿宋" w:eastAsia="仿宋" w:cs="仿宋"/>
                <w:sz w:val="24"/>
              </w:rPr>
            </w:pPr>
          </w:p>
        </w:tc>
      </w:tr>
      <w:tr w14:paraId="2948A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568" w:type="dxa"/>
            <w:vMerge w:val="continue"/>
            <w:noWrap w:val="0"/>
            <w:vAlign w:val="center"/>
          </w:tcPr>
          <w:p w14:paraId="7872597A">
            <w:pPr>
              <w:jc w:val="center"/>
              <w:rPr>
                <w:rFonts w:hint="eastAsia" w:ascii="仿宋" w:hAnsi="仿宋" w:eastAsia="仿宋" w:cs="仿宋"/>
                <w:sz w:val="24"/>
              </w:rPr>
            </w:pPr>
          </w:p>
        </w:tc>
        <w:tc>
          <w:tcPr>
            <w:tcW w:w="669" w:type="dxa"/>
            <w:vMerge w:val="restart"/>
            <w:noWrap w:val="0"/>
            <w:vAlign w:val="center"/>
          </w:tcPr>
          <w:p w14:paraId="0FDBCDEF">
            <w:pPr>
              <w:jc w:val="center"/>
              <w:rPr>
                <w:rFonts w:hint="eastAsia" w:ascii="仿宋" w:hAnsi="仿宋" w:eastAsia="仿宋" w:cs="仿宋"/>
                <w:sz w:val="24"/>
              </w:rPr>
            </w:pPr>
            <w:r>
              <w:rPr>
                <w:rFonts w:hint="eastAsia" w:ascii="仿宋" w:hAnsi="仿宋" w:eastAsia="仿宋" w:cs="仿宋"/>
                <w:sz w:val="24"/>
              </w:rPr>
              <w:t>足</w:t>
            </w:r>
          </w:p>
          <w:p w14:paraId="1E994B15">
            <w:pPr>
              <w:jc w:val="center"/>
              <w:rPr>
                <w:rFonts w:hint="eastAsia" w:ascii="仿宋" w:hAnsi="仿宋" w:eastAsia="仿宋" w:cs="仿宋"/>
                <w:sz w:val="24"/>
              </w:rPr>
            </w:pPr>
          </w:p>
          <w:p w14:paraId="45D1BC0A">
            <w:pPr>
              <w:jc w:val="center"/>
              <w:rPr>
                <w:rFonts w:hint="eastAsia" w:ascii="仿宋" w:hAnsi="仿宋" w:eastAsia="仿宋" w:cs="仿宋"/>
                <w:sz w:val="24"/>
              </w:rPr>
            </w:pPr>
            <w:r>
              <w:rPr>
                <w:rFonts w:hint="eastAsia" w:ascii="仿宋" w:hAnsi="仿宋" w:eastAsia="仿宋" w:cs="仿宋"/>
                <w:sz w:val="24"/>
              </w:rPr>
              <w:t>趾</w:t>
            </w:r>
          </w:p>
        </w:tc>
        <w:tc>
          <w:tcPr>
            <w:tcW w:w="4867" w:type="dxa"/>
            <w:gridSpan w:val="3"/>
            <w:noWrap w:val="0"/>
            <w:vAlign w:val="center"/>
          </w:tcPr>
          <w:p w14:paraId="19880BEA">
            <w:pPr>
              <w:rPr>
                <w:rFonts w:hint="eastAsia" w:ascii="仿宋" w:hAnsi="仿宋" w:eastAsia="仿宋" w:cs="仿宋"/>
                <w:sz w:val="24"/>
              </w:rPr>
            </w:pPr>
            <w:r>
              <w:rPr>
                <w:rFonts w:hint="eastAsia" w:ascii="仿宋" w:hAnsi="仿宋" w:eastAsia="仿宋" w:cs="仿宋"/>
                <w:sz w:val="24"/>
              </w:rPr>
              <w:t>十个足趾缺失</w:t>
            </w:r>
          </w:p>
        </w:tc>
        <w:tc>
          <w:tcPr>
            <w:tcW w:w="1277" w:type="dxa"/>
            <w:noWrap w:val="0"/>
            <w:vAlign w:val="center"/>
          </w:tcPr>
          <w:p w14:paraId="67DF812D">
            <w:pPr>
              <w:jc w:val="center"/>
              <w:rPr>
                <w:rFonts w:hint="eastAsia" w:ascii="仿宋" w:hAnsi="仿宋" w:eastAsia="仿宋" w:cs="仿宋"/>
                <w:sz w:val="24"/>
              </w:rPr>
            </w:pPr>
            <w:r>
              <w:rPr>
                <w:rFonts w:hint="eastAsia" w:ascii="仿宋" w:hAnsi="仿宋" w:eastAsia="仿宋" w:cs="仿宋"/>
                <w:sz w:val="24"/>
              </w:rPr>
              <w:t>50%</w:t>
            </w:r>
          </w:p>
        </w:tc>
        <w:tc>
          <w:tcPr>
            <w:tcW w:w="1979" w:type="dxa"/>
            <w:gridSpan w:val="3"/>
            <w:vMerge w:val="restart"/>
            <w:noWrap w:val="0"/>
            <w:vAlign w:val="center"/>
          </w:tcPr>
          <w:p w14:paraId="163D2F79">
            <w:pPr>
              <w:jc w:val="center"/>
              <w:rPr>
                <w:rFonts w:hint="eastAsia" w:ascii="仿宋" w:hAnsi="仿宋" w:eastAsia="仿宋" w:cs="仿宋"/>
                <w:sz w:val="24"/>
              </w:rPr>
            </w:pPr>
            <w:r>
              <w:rPr>
                <w:rFonts w:hint="eastAsia" w:ascii="仿宋" w:hAnsi="仿宋" w:eastAsia="仿宋" w:cs="仿宋"/>
                <w:sz w:val="24"/>
              </w:rPr>
              <w:t>仅缺失足趾一节或两节,按完全缺失的50%理赔, 断趾再接的按缺失的50%理赔</w:t>
            </w:r>
          </w:p>
        </w:tc>
      </w:tr>
      <w:tr w14:paraId="4B9AF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568" w:type="dxa"/>
            <w:vMerge w:val="continue"/>
            <w:noWrap w:val="0"/>
            <w:vAlign w:val="center"/>
          </w:tcPr>
          <w:p w14:paraId="3143A30D">
            <w:pPr>
              <w:jc w:val="center"/>
              <w:rPr>
                <w:rFonts w:hint="eastAsia" w:ascii="仿宋" w:hAnsi="仿宋" w:eastAsia="仿宋" w:cs="仿宋"/>
                <w:sz w:val="24"/>
              </w:rPr>
            </w:pPr>
          </w:p>
        </w:tc>
        <w:tc>
          <w:tcPr>
            <w:tcW w:w="669" w:type="dxa"/>
            <w:vMerge w:val="continue"/>
            <w:noWrap w:val="0"/>
            <w:vAlign w:val="center"/>
          </w:tcPr>
          <w:p w14:paraId="6503BF7B">
            <w:pPr>
              <w:jc w:val="center"/>
              <w:rPr>
                <w:rFonts w:hint="eastAsia" w:ascii="仿宋" w:hAnsi="仿宋" w:eastAsia="仿宋" w:cs="仿宋"/>
                <w:sz w:val="24"/>
              </w:rPr>
            </w:pPr>
          </w:p>
        </w:tc>
        <w:tc>
          <w:tcPr>
            <w:tcW w:w="4867" w:type="dxa"/>
            <w:gridSpan w:val="3"/>
            <w:noWrap w:val="0"/>
            <w:vAlign w:val="center"/>
          </w:tcPr>
          <w:p w14:paraId="01E20192">
            <w:pPr>
              <w:rPr>
                <w:rFonts w:hint="eastAsia" w:ascii="仿宋" w:hAnsi="仿宋" w:eastAsia="仿宋" w:cs="仿宋"/>
                <w:sz w:val="24"/>
              </w:rPr>
            </w:pPr>
            <w:r>
              <w:rPr>
                <w:rFonts w:hint="eastAsia" w:ascii="仿宋" w:hAnsi="仿宋" w:eastAsia="仿宋" w:cs="仿宋"/>
                <w:sz w:val="24"/>
              </w:rPr>
              <w:t>十个足趾功能全部丧失</w:t>
            </w:r>
          </w:p>
        </w:tc>
        <w:tc>
          <w:tcPr>
            <w:tcW w:w="1277" w:type="dxa"/>
            <w:noWrap w:val="0"/>
            <w:vAlign w:val="center"/>
          </w:tcPr>
          <w:p w14:paraId="2CA6F652">
            <w:pPr>
              <w:jc w:val="center"/>
              <w:rPr>
                <w:rFonts w:hint="eastAsia" w:ascii="仿宋" w:hAnsi="仿宋" w:eastAsia="仿宋" w:cs="仿宋"/>
                <w:sz w:val="24"/>
              </w:rPr>
            </w:pPr>
            <w:r>
              <w:rPr>
                <w:rFonts w:hint="eastAsia" w:ascii="仿宋" w:hAnsi="仿宋" w:eastAsia="仿宋" w:cs="仿宋"/>
                <w:sz w:val="24"/>
              </w:rPr>
              <w:t>30%</w:t>
            </w:r>
          </w:p>
        </w:tc>
        <w:tc>
          <w:tcPr>
            <w:tcW w:w="1979" w:type="dxa"/>
            <w:gridSpan w:val="3"/>
            <w:vMerge w:val="continue"/>
            <w:noWrap w:val="0"/>
            <w:vAlign w:val="center"/>
          </w:tcPr>
          <w:p w14:paraId="03BDD562">
            <w:pPr>
              <w:jc w:val="center"/>
              <w:rPr>
                <w:rFonts w:hint="eastAsia" w:ascii="仿宋" w:hAnsi="仿宋" w:eastAsia="仿宋" w:cs="仿宋"/>
                <w:sz w:val="24"/>
              </w:rPr>
            </w:pPr>
          </w:p>
        </w:tc>
      </w:tr>
      <w:tr w14:paraId="37A03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568" w:type="dxa"/>
            <w:vMerge w:val="continue"/>
            <w:noWrap w:val="0"/>
            <w:vAlign w:val="center"/>
          </w:tcPr>
          <w:p w14:paraId="53E60F5E">
            <w:pPr>
              <w:jc w:val="center"/>
              <w:rPr>
                <w:rFonts w:hint="eastAsia" w:ascii="仿宋" w:hAnsi="仿宋" w:eastAsia="仿宋" w:cs="仿宋"/>
                <w:sz w:val="24"/>
              </w:rPr>
            </w:pPr>
          </w:p>
        </w:tc>
        <w:tc>
          <w:tcPr>
            <w:tcW w:w="669" w:type="dxa"/>
            <w:vMerge w:val="continue"/>
            <w:noWrap w:val="0"/>
            <w:vAlign w:val="center"/>
          </w:tcPr>
          <w:p w14:paraId="27140AE1">
            <w:pPr>
              <w:jc w:val="center"/>
              <w:rPr>
                <w:rFonts w:hint="eastAsia" w:ascii="仿宋" w:hAnsi="仿宋" w:eastAsia="仿宋" w:cs="仿宋"/>
                <w:sz w:val="24"/>
              </w:rPr>
            </w:pPr>
          </w:p>
        </w:tc>
        <w:tc>
          <w:tcPr>
            <w:tcW w:w="4867" w:type="dxa"/>
            <w:gridSpan w:val="3"/>
            <w:noWrap w:val="0"/>
            <w:vAlign w:val="center"/>
          </w:tcPr>
          <w:p w14:paraId="1D323871">
            <w:pPr>
              <w:rPr>
                <w:rFonts w:hint="eastAsia" w:ascii="仿宋" w:hAnsi="仿宋" w:eastAsia="仿宋" w:cs="仿宋"/>
                <w:sz w:val="24"/>
              </w:rPr>
            </w:pPr>
            <w:r>
              <w:rPr>
                <w:rFonts w:hint="eastAsia" w:ascii="仿宋" w:hAnsi="仿宋" w:eastAsia="仿宋" w:cs="仿宋"/>
                <w:sz w:val="24"/>
              </w:rPr>
              <w:t>一拇趾缺失</w:t>
            </w:r>
          </w:p>
        </w:tc>
        <w:tc>
          <w:tcPr>
            <w:tcW w:w="1277" w:type="dxa"/>
            <w:noWrap w:val="0"/>
            <w:vAlign w:val="center"/>
          </w:tcPr>
          <w:p w14:paraId="1F896996">
            <w:pPr>
              <w:jc w:val="center"/>
              <w:rPr>
                <w:rFonts w:hint="eastAsia" w:ascii="仿宋" w:hAnsi="仿宋" w:eastAsia="仿宋" w:cs="仿宋"/>
                <w:sz w:val="24"/>
              </w:rPr>
            </w:pPr>
            <w:r>
              <w:rPr>
                <w:rFonts w:hint="eastAsia" w:ascii="仿宋" w:hAnsi="仿宋" w:eastAsia="仿宋" w:cs="仿宋"/>
                <w:sz w:val="24"/>
              </w:rPr>
              <w:t>5%</w:t>
            </w:r>
          </w:p>
        </w:tc>
        <w:tc>
          <w:tcPr>
            <w:tcW w:w="1979" w:type="dxa"/>
            <w:gridSpan w:val="3"/>
            <w:vMerge w:val="continue"/>
            <w:noWrap w:val="0"/>
            <w:vAlign w:val="center"/>
          </w:tcPr>
          <w:p w14:paraId="08859E55">
            <w:pPr>
              <w:jc w:val="center"/>
              <w:rPr>
                <w:rFonts w:hint="eastAsia" w:ascii="仿宋" w:hAnsi="仿宋" w:eastAsia="仿宋" w:cs="仿宋"/>
                <w:sz w:val="24"/>
              </w:rPr>
            </w:pPr>
          </w:p>
        </w:tc>
      </w:tr>
      <w:tr w14:paraId="0C472EC3">
        <w:tblPrEx>
          <w:tblCellMar>
            <w:top w:w="0" w:type="dxa"/>
            <w:left w:w="108" w:type="dxa"/>
            <w:bottom w:w="0" w:type="dxa"/>
            <w:right w:w="108" w:type="dxa"/>
          </w:tblCellMar>
        </w:tblPrEx>
        <w:trPr>
          <w:trHeight w:val="375" w:hRule="atLeast"/>
          <w:jc w:val="center"/>
        </w:trPr>
        <w:tc>
          <w:tcPr>
            <w:tcW w:w="568" w:type="dxa"/>
            <w:vMerge w:val="continue"/>
            <w:noWrap w:val="0"/>
            <w:vAlign w:val="center"/>
          </w:tcPr>
          <w:p w14:paraId="7A183367">
            <w:pPr>
              <w:jc w:val="center"/>
              <w:rPr>
                <w:rFonts w:hint="eastAsia" w:ascii="仿宋" w:hAnsi="仿宋" w:eastAsia="仿宋" w:cs="仿宋"/>
                <w:sz w:val="24"/>
              </w:rPr>
            </w:pPr>
          </w:p>
        </w:tc>
        <w:tc>
          <w:tcPr>
            <w:tcW w:w="669" w:type="dxa"/>
            <w:vMerge w:val="continue"/>
            <w:noWrap w:val="0"/>
            <w:vAlign w:val="center"/>
          </w:tcPr>
          <w:p w14:paraId="4C5E07AA">
            <w:pPr>
              <w:jc w:val="center"/>
              <w:rPr>
                <w:rFonts w:hint="eastAsia" w:ascii="仿宋" w:hAnsi="仿宋" w:eastAsia="仿宋" w:cs="仿宋"/>
                <w:sz w:val="24"/>
              </w:rPr>
            </w:pPr>
          </w:p>
        </w:tc>
        <w:tc>
          <w:tcPr>
            <w:tcW w:w="4867" w:type="dxa"/>
            <w:gridSpan w:val="3"/>
            <w:noWrap w:val="0"/>
            <w:vAlign w:val="center"/>
          </w:tcPr>
          <w:p w14:paraId="0BC5F6CE">
            <w:pPr>
              <w:rPr>
                <w:rFonts w:hint="eastAsia" w:ascii="仿宋" w:hAnsi="仿宋" w:eastAsia="仿宋" w:cs="仿宋"/>
                <w:sz w:val="24"/>
              </w:rPr>
            </w:pPr>
            <w:r>
              <w:rPr>
                <w:rFonts w:hint="eastAsia" w:ascii="仿宋" w:hAnsi="仿宋" w:eastAsia="仿宋" w:cs="仿宋"/>
                <w:sz w:val="24"/>
              </w:rPr>
              <w:t>除拇趾外，每缺失一趾</w:t>
            </w:r>
          </w:p>
        </w:tc>
        <w:tc>
          <w:tcPr>
            <w:tcW w:w="1277" w:type="dxa"/>
            <w:noWrap w:val="0"/>
            <w:vAlign w:val="center"/>
          </w:tcPr>
          <w:p w14:paraId="6C3A5138">
            <w:pPr>
              <w:jc w:val="center"/>
              <w:rPr>
                <w:rFonts w:hint="eastAsia" w:ascii="仿宋" w:hAnsi="仿宋" w:eastAsia="仿宋" w:cs="仿宋"/>
                <w:sz w:val="24"/>
              </w:rPr>
            </w:pPr>
            <w:r>
              <w:rPr>
                <w:rFonts w:hint="eastAsia" w:ascii="仿宋" w:hAnsi="仿宋" w:eastAsia="仿宋" w:cs="仿宋"/>
                <w:sz w:val="24"/>
              </w:rPr>
              <w:t>3%</w:t>
            </w:r>
          </w:p>
        </w:tc>
        <w:tc>
          <w:tcPr>
            <w:tcW w:w="1979" w:type="dxa"/>
            <w:gridSpan w:val="3"/>
            <w:vMerge w:val="continue"/>
            <w:noWrap w:val="0"/>
            <w:vAlign w:val="center"/>
          </w:tcPr>
          <w:p w14:paraId="39D84BD5">
            <w:pPr>
              <w:jc w:val="center"/>
              <w:rPr>
                <w:rFonts w:hint="eastAsia" w:ascii="仿宋" w:hAnsi="仿宋" w:eastAsia="仿宋" w:cs="仿宋"/>
                <w:sz w:val="24"/>
              </w:rPr>
            </w:pPr>
          </w:p>
        </w:tc>
      </w:tr>
      <w:tr w14:paraId="1CC36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021DE14E">
            <w:pPr>
              <w:jc w:val="center"/>
              <w:rPr>
                <w:rFonts w:hint="eastAsia" w:ascii="仿宋" w:hAnsi="仿宋" w:eastAsia="仿宋" w:cs="仿宋"/>
                <w:sz w:val="24"/>
              </w:rPr>
            </w:pPr>
          </w:p>
        </w:tc>
        <w:tc>
          <w:tcPr>
            <w:tcW w:w="669" w:type="dxa"/>
            <w:vMerge w:val="continue"/>
            <w:noWrap w:val="0"/>
            <w:vAlign w:val="center"/>
          </w:tcPr>
          <w:p w14:paraId="766CDC56">
            <w:pPr>
              <w:jc w:val="center"/>
              <w:rPr>
                <w:rFonts w:hint="eastAsia" w:ascii="仿宋" w:hAnsi="仿宋" w:eastAsia="仿宋" w:cs="仿宋"/>
                <w:sz w:val="24"/>
              </w:rPr>
            </w:pPr>
          </w:p>
        </w:tc>
        <w:tc>
          <w:tcPr>
            <w:tcW w:w="4867" w:type="dxa"/>
            <w:gridSpan w:val="3"/>
            <w:noWrap w:val="0"/>
            <w:vAlign w:val="center"/>
          </w:tcPr>
          <w:p w14:paraId="292B4956">
            <w:pPr>
              <w:rPr>
                <w:rFonts w:hint="eastAsia" w:ascii="仿宋" w:hAnsi="仿宋" w:eastAsia="仿宋" w:cs="仿宋"/>
                <w:sz w:val="24"/>
              </w:rPr>
            </w:pPr>
            <w:r>
              <w:rPr>
                <w:rFonts w:hint="eastAsia" w:ascii="仿宋" w:hAnsi="仿宋" w:eastAsia="仿宋" w:cs="仿宋"/>
                <w:sz w:val="24"/>
              </w:rPr>
              <w:t>一趾骨折</w:t>
            </w:r>
          </w:p>
        </w:tc>
        <w:tc>
          <w:tcPr>
            <w:tcW w:w="1277" w:type="dxa"/>
            <w:noWrap w:val="0"/>
            <w:vAlign w:val="center"/>
          </w:tcPr>
          <w:p w14:paraId="6BDF7032">
            <w:pPr>
              <w:jc w:val="center"/>
              <w:rPr>
                <w:rFonts w:hint="eastAsia" w:ascii="仿宋" w:hAnsi="仿宋" w:eastAsia="仿宋" w:cs="仿宋"/>
                <w:sz w:val="24"/>
              </w:rPr>
            </w:pPr>
            <w:r>
              <w:rPr>
                <w:rFonts w:hint="eastAsia" w:ascii="仿宋" w:hAnsi="仿宋" w:eastAsia="仿宋" w:cs="仿宋"/>
                <w:sz w:val="24"/>
              </w:rPr>
              <w:t>0.5%</w:t>
            </w:r>
          </w:p>
        </w:tc>
        <w:tc>
          <w:tcPr>
            <w:tcW w:w="1979" w:type="dxa"/>
            <w:gridSpan w:val="3"/>
            <w:vMerge w:val="continue"/>
            <w:noWrap w:val="0"/>
            <w:vAlign w:val="center"/>
          </w:tcPr>
          <w:p w14:paraId="310AC4E0">
            <w:pPr>
              <w:jc w:val="center"/>
              <w:rPr>
                <w:rFonts w:hint="eastAsia" w:ascii="仿宋" w:hAnsi="仿宋" w:eastAsia="仿宋" w:cs="仿宋"/>
                <w:sz w:val="24"/>
              </w:rPr>
            </w:pPr>
          </w:p>
        </w:tc>
      </w:tr>
      <w:tr w14:paraId="2096C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restart"/>
            <w:noWrap w:val="0"/>
            <w:vAlign w:val="center"/>
          </w:tcPr>
          <w:p w14:paraId="32D0D410">
            <w:pPr>
              <w:jc w:val="center"/>
              <w:rPr>
                <w:rFonts w:hint="eastAsia" w:ascii="仿宋" w:hAnsi="仿宋" w:eastAsia="仿宋" w:cs="仿宋"/>
                <w:sz w:val="24"/>
              </w:rPr>
            </w:pPr>
            <w:r>
              <w:rPr>
                <w:rFonts w:hint="eastAsia" w:ascii="仿宋" w:hAnsi="仿宋" w:eastAsia="仿宋" w:cs="仿宋"/>
                <w:sz w:val="24"/>
              </w:rPr>
              <w:t>躯</w:t>
            </w:r>
          </w:p>
          <w:p w14:paraId="7BA12255">
            <w:pPr>
              <w:jc w:val="center"/>
              <w:rPr>
                <w:rFonts w:hint="eastAsia" w:ascii="仿宋" w:hAnsi="仿宋" w:eastAsia="仿宋" w:cs="仿宋"/>
                <w:sz w:val="24"/>
              </w:rPr>
            </w:pPr>
            <w:r>
              <w:rPr>
                <w:rFonts w:hint="eastAsia" w:ascii="仿宋" w:hAnsi="仿宋" w:eastAsia="仿宋" w:cs="仿宋"/>
                <w:sz w:val="24"/>
              </w:rPr>
              <w:t>干</w:t>
            </w:r>
          </w:p>
        </w:tc>
        <w:tc>
          <w:tcPr>
            <w:tcW w:w="4867" w:type="dxa"/>
            <w:gridSpan w:val="3"/>
            <w:noWrap w:val="0"/>
            <w:vAlign w:val="center"/>
          </w:tcPr>
          <w:p w14:paraId="02B4A344">
            <w:pPr>
              <w:rPr>
                <w:rFonts w:hint="eastAsia" w:ascii="仿宋" w:hAnsi="仿宋" w:eastAsia="仿宋" w:cs="仿宋"/>
                <w:sz w:val="24"/>
              </w:rPr>
            </w:pPr>
            <w:r>
              <w:rPr>
                <w:rFonts w:hint="eastAsia" w:ascii="仿宋" w:hAnsi="仿宋" w:eastAsia="仿宋" w:cs="仿宋"/>
                <w:sz w:val="24"/>
              </w:rPr>
              <w:t>单根肋骨骨折</w:t>
            </w:r>
          </w:p>
        </w:tc>
        <w:tc>
          <w:tcPr>
            <w:tcW w:w="1277" w:type="dxa"/>
            <w:noWrap w:val="0"/>
            <w:vAlign w:val="center"/>
          </w:tcPr>
          <w:p w14:paraId="5DE0380E">
            <w:pPr>
              <w:jc w:val="center"/>
              <w:rPr>
                <w:rFonts w:hint="eastAsia" w:ascii="仿宋" w:hAnsi="仿宋" w:eastAsia="仿宋" w:cs="仿宋"/>
                <w:sz w:val="24"/>
              </w:rPr>
            </w:pPr>
            <w:r>
              <w:rPr>
                <w:rFonts w:hint="eastAsia" w:ascii="仿宋" w:hAnsi="仿宋" w:eastAsia="仿宋" w:cs="仿宋"/>
                <w:sz w:val="24"/>
              </w:rPr>
              <w:t>3%</w:t>
            </w:r>
          </w:p>
        </w:tc>
        <w:tc>
          <w:tcPr>
            <w:tcW w:w="1979" w:type="dxa"/>
            <w:gridSpan w:val="3"/>
            <w:noWrap w:val="0"/>
            <w:vAlign w:val="center"/>
          </w:tcPr>
          <w:p w14:paraId="3AFEF5DA">
            <w:pPr>
              <w:jc w:val="center"/>
              <w:rPr>
                <w:rFonts w:hint="eastAsia" w:ascii="仿宋" w:hAnsi="仿宋" w:eastAsia="仿宋" w:cs="仿宋"/>
                <w:sz w:val="24"/>
              </w:rPr>
            </w:pPr>
          </w:p>
        </w:tc>
      </w:tr>
      <w:tr w14:paraId="0A60B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continue"/>
            <w:tcBorders>
              <w:top w:val="nil"/>
            </w:tcBorders>
            <w:noWrap w:val="0"/>
            <w:vAlign w:val="center"/>
          </w:tcPr>
          <w:p w14:paraId="1503B726">
            <w:pPr>
              <w:jc w:val="center"/>
              <w:rPr>
                <w:rFonts w:hint="eastAsia" w:ascii="仿宋" w:hAnsi="仿宋" w:eastAsia="仿宋" w:cs="仿宋"/>
                <w:sz w:val="24"/>
              </w:rPr>
            </w:pPr>
          </w:p>
        </w:tc>
        <w:tc>
          <w:tcPr>
            <w:tcW w:w="4867" w:type="dxa"/>
            <w:gridSpan w:val="3"/>
            <w:noWrap w:val="0"/>
            <w:vAlign w:val="center"/>
          </w:tcPr>
          <w:p w14:paraId="69217835">
            <w:pPr>
              <w:rPr>
                <w:rFonts w:hint="eastAsia" w:ascii="仿宋" w:hAnsi="仿宋" w:eastAsia="仿宋" w:cs="仿宋"/>
                <w:sz w:val="24"/>
              </w:rPr>
            </w:pPr>
            <w:r>
              <w:rPr>
                <w:rFonts w:hint="eastAsia" w:ascii="仿宋" w:hAnsi="仿宋" w:eastAsia="仿宋" w:cs="仿宋"/>
                <w:sz w:val="24"/>
              </w:rPr>
              <w:t>多根肋骨骨折</w:t>
            </w:r>
          </w:p>
        </w:tc>
        <w:tc>
          <w:tcPr>
            <w:tcW w:w="1277" w:type="dxa"/>
            <w:noWrap w:val="0"/>
            <w:vAlign w:val="center"/>
          </w:tcPr>
          <w:p w14:paraId="3F8DF6DE">
            <w:pPr>
              <w:jc w:val="center"/>
              <w:rPr>
                <w:rFonts w:hint="eastAsia" w:ascii="仿宋" w:hAnsi="仿宋" w:eastAsia="仿宋" w:cs="仿宋"/>
                <w:sz w:val="24"/>
              </w:rPr>
            </w:pPr>
            <w:r>
              <w:rPr>
                <w:rFonts w:hint="eastAsia" w:ascii="仿宋" w:hAnsi="仿宋" w:eastAsia="仿宋" w:cs="仿宋"/>
                <w:sz w:val="24"/>
              </w:rPr>
              <w:t>6％</w:t>
            </w:r>
          </w:p>
        </w:tc>
        <w:tc>
          <w:tcPr>
            <w:tcW w:w="1979" w:type="dxa"/>
            <w:gridSpan w:val="3"/>
            <w:noWrap w:val="0"/>
            <w:vAlign w:val="center"/>
          </w:tcPr>
          <w:p w14:paraId="4C14883F">
            <w:pPr>
              <w:jc w:val="center"/>
              <w:rPr>
                <w:rFonts w:hint="eastAsia" w:ascii="仿宋" w:hAnsi="仿宋" w:eastAsia="仿宋" w:cs="仿宋"/>
                <w:sz w:val="24"/>
              </w:rPr>
            </w:pPr>
          </w:p>
        </w:tc>
      </w:tr>
      <w:tr w14:paraId="29B9A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continue"/>
            <w:tcBorders>
              <w:top w:val="nil"/>
            </w:tcBorders>
            <w:noWrap w:val="0"/>
            <w:vAlign w:val="center"/>
          </w:tcPr>
          <w:p w14:paraId="2338C8EC">
            <w:pPr>
              <w:jc w:val="center"/>
              <w:rPr>
                <w:rFonts w:hint="eastAsia" w:ascii="仿宋" w:hAnsi="仿宋" w:eastAsia="仿宋" w:cs="仿宋"/>
                <w:sz w:val="24"/>
              </w:rPr>
            </w:pPr>
          </w:p>
        </w:tc>
        <w:tc>
          <w:tcPr>
            <w:tcW w:w="4867" w:type="dxa"/>
            <w:gridSpan w:val="3"/>
            <w:noWrap w:val="0"/>
            <w:vAlign w:val="center"/>
          </w:tcPr>
          <w:p w14:paraId="48A17D43">
            <w:pPr>
              <w:rPr>
                <w:rFonts w:hint="eastAsia" w:ascii="仿宋" w:hAnsi="仿宋" w:eastAsia="仿宋" w:cs="仿宋"/>
                <w:sz w:val="24"/>
              </w:rPr>
            </w:pPr>
            <w:r>
              <w:rPr>
                <w:rFonts w:hint="eastAsia" w:ascii="仿宋" w:hAnsi="仿宋" w:eastAsia="仿宋" w:cs="仿宋"/>
                <w:sz w:val="24"/>
              </w:rPr>
              <w:t>多根肋骨骨折,伴血、气胸、积液</w:t>
            </w:r>
          </w:p>
        </w:tc>
        <w:tc>
          <w:tcPr>
            <w:tcW w:w="1277" w:type="dxa"/>
            <w:noWrap w:val="0"/>
            <w:vAlign w:val="center"/>
          </w:tcPr>
          <w:p w14:paraId="347B4023">
            <w:pPr>
              <w:jc w:val="center"/>
              <w:rPr>
                <w:rFonts w:hint="eastAsia" w:ascii="仿宋" w:hAnsi="仿宋" w:eastAsia="仿宋" w:cs="仿宋"/>
                <w:sz w:val="24"/>
              </w:rPr>
            </w:pPr>
            <w:r>
              <w:rPr>
                <w:rFonts w:hint="eastAsia" w:ascii="仿宋" w:hAnsi="仿宋" w:eastAsia="仿宋" w:cs="仿宋"/>
                <w:sz w:val="24"/>
              </w:rPr>
              <w:t>15%</w:t>
            </w:r>
          </w:p>
        </w:tc>
        <w:tc>
          <w:tcPr>
            <w:tcW w:w="1979" w:type="dxa"/>
            <w:gridSpan w:val="3"/>
            <w:noWrap w:val="0"/>
            <w:vAlign w:val="center"/>
          </w:tcPr>
          <w:p w14:paraId="33DDAF5E">
            <w:pPr>
              <w:jc w:val="center"/>
              <w:rPr>
                <w:rFonts w:hint="eastAsia" w:ascii="仿宋" w:hAnsi="仿宋" w:eastAsia="仿宋" w:cs="仿宋"/>
                <w:sz w:val="24"/>
              </w:rPr>
            </w:pPr>
          </w:p>
        </w:tc>
      </w:tr>
      <w:tr w14:paraId="40E9B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continue"/>
            <w:tcBorders>
              <w:top w:val="nil"/>
            </w:tcBorders>
            <w:noWrap w:val="0"/>
            <w:vAlign w:val="center"/>
          </w:tcPr>
          <w:p w14:paraId="0B9287AC">
            <w:pPr>
              <w:jc w:val="center"/>
              <w:rPr>
                <w:rFonts w:hint="eastAsia" w:ascii="仿宋" w:hAnsi="仿宋" w:eastAsia="仿宋" w:cs="仿宋"/>
                <w:sz w:val="24"/>
              </w:rPr>
            </w:pPr>
          </w:p>
        </w:tc>
        <w:tc>
          <w:tcPr>
            <w:tcW w:w="4867" w:type="dxa"/>
            <w:gridSpan w:val="3"/>
            <w:noWrap w:val="0"/>
            <w:vAlign w:val="center"/>
          </w:tcPr>
          <w:p w14:paraId="37EF6D8F">
            <w:pPr>
              <w:rPr>
                <w:rFonts w:hint="eastAsia" w:ascii="仿宋" w:hAnsi="仿宋" w:eastAsia="仿宋" w:cs="仿宋"/>
                <w:sz w:val="24"/>
              </w:rPr>
            </w:pPr>
            <w:r>
              <w:rPr>
                <w:rFonts w:hint="eastAsia" w:ascii="仿宋" w:hAnsi="仿宋" w:eastAsia="仿宋" w:cs="仿宋"/>
                <w:sz w:val="24"/>
              </w:rPr>
              <w:t>胸骨、骨盆骨折</w:t>
            </w:r>
          </w:p>
        </w:tc>
        <w:tc>
          <w:tcPr>
            <w:tcW w:w="1277" w:type="dxa"/>
            <w:noWrap w:val="0"/>
            <w:vAlign w:val="center"/>
          </w:tcPr>
          <w:p w14:paraId="7131C960">
            <w:pPr>
              <w:jc w:val="center"/>
              <w:rPr>
                <w:rFonts w:hint="eastAsia" w:ascii="仿宋" w:hAnsi="仿宋" w:eastAsia="仿宋" w:cs="仿宋"/>
                <w:sz w:val="24"/>
              </w:rPr>
            </w:pPr>
            <w:r>
              <w:rPr>
                <w:rFonts w:hint="eastAsia" w:ascii="仿宋" w:hAnsi="仿宋" w:eastAsia="仿宋" w:cs="仿宋"/>
                <w:sz w:val="24"/>
              </w:rPr>
              <w:t>5%</w:t>
            </w:r>
          </w:p>
        </w:tc>
        <w:tc>
          <w:tcPr>
            <w:tcW w:w="1979" w:type="dxa"/>
            <w:gridSpan w:val="3"/>
            <w:noWrap w:val="0"/>
            <w:vAlign w:val="center"/>
          </w:tcPr>
          <w:p w14:paraId="589A6011">
            <w:pPr>
              <w:jc w:val="center"/>
              <w:rPr>
                <w:rFonts w:hint="eastAsia" w:ascii="仿宋" w:hAnsi="仿宋" w:eastAsia="仿宋" w:cs="仿宋"/>
                <w:sz w:val="24"/>
              </w:rPr>
            </w:pPr>
          </w:p>
        </w:tc>
      </w:tr>
      <w:tr w14:paraId="4BBAF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continue"/>
            <w:tcBorders>
              <w:top w:val="nil"/>
            </w:tcBorders>
            <w:noWrap w:val="0"/>
            <w:vAlign w:val="center"/>
          </w:tcPr>
          <w:p w14:paraId="24829E10">
            <w:pPr>
              <w:jc w:val="center"/>
              <w:rPr>
                <w:rFonts w:hint="eastAsia" w:ascii="仿宋" w:hAnsi="仿宋" w:eastAsia="仿宋" w:cs="仿宋"/>
                <w:sz w:val="24"/>
              </w:rPr>
            </w:pPr>
          </w:p>
        </w:tc>
        <w:tc>
          <w:tcPr>
            <w:tcW w:w="4867" w:type="dxa"/>
            <w:gridSpan w:val="3"/>
            <w:noWrap w:val="0"/>
            <w:vAlign w:val="center"/>
          </w:tcPr>
          <w:p w14:paraId="612FFBCA">
            <w:pPr>
              <w:rPr>
                <w:rFonts w:hint="eastAsia" w:ascii="仿宋" w:hAnsi="仿宋" w:eastAsia="仿宋" w:cs="仿宋"/>
                <w:sz w:val="24"/>
              </w:rPr>
            </w:pPr>
            <w:r>
              <w:rPr>
                <w:rFonts w:hint="eastAsia" w:ascii="仿宋" w:hAnsi="仿宋" w:eastAsia="仿宋" w:cs="仿宋"/>
                <w:sz w:val="24"/>
              </w:rPr>
              <w:t>胸骨骨折,伴血、气胸</w:t>
            </w:r>
          </w:p>
        </w:tc>
        <w:tc>
          <w:tcPr>
            <w:tcW w:w="1277" w:type="dxa"/>
            <w:noWrap w:val="0"/>
            <w:vAlign w:val="center"/>
          </w:tcPr>
          <w:p w14:paraId="5B71805C">
            <w:pPr>
              <w:jc w:val="center"/>
              <w:rPr>
                <w:rFonts w:hint="eastAsia" w:ascii="仿宋" w:hAnsi="仿宋" w:eastAsia="仿宋" w:cs="仿宋"/>
                <w:sz w:val="24"/>
              </w:rPr>
            </w:pPr>
            <w:r>
              <w:rPr>
                <w:rFonts w:hint="eastAsia" w:ascii="仿宋" w:hAnsi="仿宋" w:eastAsia="仿宋" w:cs="仿宋"/>
                <w:sz w:val="24"/>
              </w:rPr>
              <w:t>15%</w:t>
            </w:r>
          </w:p>
        </w:tc>
        <w:tc>
          <w:tcPr>
            <w:tcW w:w="1979" w:type="dxa"/>
            <w:gridSpan w:val="3"/>
            <w:noWrap w:val="0"/>
            <w:vAlign w:val="center"/>
          </w:tcPr>
          <w:p w14:paraId="04FD56C9">
            <w:pPr>
              <w:jc w:val="center"/>
              <w:rPr>
                <w:rFonts w:hint="eastAsia" w:ascii="仿宋" w:hAnsi="仿宋" w:eastAsia="仿宋" w:cs="仿宋"/>
                <w:sz w:val="24"/>
              </w:rPr>
            </w:pPr>
          </w:p>
        </w:tc>
      </w:tr>
      <w:tr w14:paraId="74FE7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continue"/>
            <w:tcBorders>
              <w:top w:val="nil"/>
            </w:tcBorders>
            <w:noWrap w:val="0"/>
            <w:vAlign w:val="center"/>
          </w:tcPr>
          <w:p w14:paraId="6B8945EA">
            <w:pPr>
              <w:jc w:val="center"/>
              <w:rPr>
                <w:rFonts w:hint="eastAsia" w:ascii="仿宋" w:hAnsi="仿宋" w:eastAsia="仿宋" w:cs="仿宋"/>
                <w:sz w:val="24"/>
              </w:rPr>
            </w:pPr>
          </w:p>
        </w:tc>
        <w:tc>
          <w:tcPr>
            <w:tcW w:w="4867" w:type="dxa"/>
            <w:gridSpan w:val="3"/>
            <w:noWrap w:val="0"/>
            <w:vAlign w:val="center"/>
          </w:tcPr>
          <w:p w14:paraId="699FF48D">
            <w:pPr>
              <w:rPr>
                <w:rFonts w:hint="eastAsia" w:ascii="仿宋" w:hAnsi="仿宋" w:eastAsia="仿宋" w:cs="仿宋"/>
                <w:sz w:val="24"/>
              </w:rPr>
            </w:pPr>
            <w:r>
              <w:rPr>
                <w:rFonts w:hint="eastAsia" w:ascii="仿宋" w:hAnsi="仿宋" w:eastAsia="仿宋" w:cs="仿宋"/>
                <w:sz w:val="24"/>
              </w:rPr>
              <w:t>颈椎、胸椎、腰椎骨折</w:t>
            </w:r>
          </w:p>
        </w:tc>
        <w:tc>
          <w:tcPr>
            <w:tcW w:w="1277" w:type="dxa"/>
            <w:noWrap w:val="0"/>
            <w:vAlign w:val="center"/>
          </w:tcPr>
          <w:p w14:paraId="48131F52">
            <w:pPr>
              <w:jc w:val="center"/>
              <w:rPr>
                <w:rFonts w:hint="eastAsia" w:ascii="仿宋" w:hAnsi="仿宋" w:eastAsia="仿宋" w:cs="仿宋"/>
                <w:sz w:val="24"/>
              </w:rPr>
            </w:pPr>
            <w:r>
              <w:rPr>
                <w:rFonts w:hint="eastAsia" w:ascii="仿宋" w:hAnsi="仿宋" w:eastAsia="仿宋" w:cs="仿宋"/>
                <w:sz w:val="24"/>
              </w:rPr>
              <w:t>10%</w:t>
            </w:r>
          </w:p>
        </w:tc>
        <w:tc>
          <w:tcPr>
            <w:tcW w:w="1979" w:type="dxa"/>
            <w:gridSpan w:val="3"/>
            <w:noWrap w:val="0"/>
            <w:vAlign w:val="center"/>
          </w:tcPr>
          <w:p w14:paraId="633B6C12">
            <w:pPr>
              <w:jc w:val="center"/>
              <w:rPr>
                <w:rFonts w:hint="eastAsia" w:ascii="仿宋" w:hAnsi="仿宋" w:eastAsia="仿宋" w:cs="仿宋"/>
                <w:sz w:val="24"/>
              </w:rPr>
            </w:pPr>
          </w:p>
        </w:tc>
      </w:tr>
      <w:tr w14:paraId="4A029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continue"/>
            <w:tcBorders>
              <w:top w:val="nil"/>
            </w:tcBorders>
            <w:noWrap w:val="0"/>
            <w:vAlign w:val="center"/>
          </w:tcPr>
          <w:p w14:paraId="1840F92B">
            <w:pPr>
              <w:jc w:val="center"/>
              <w:rPr>
                <w:rFonts w:hint="eastAsia" w:ascii="仿宋" w:hAnsi="仿宋" w:eastAsia="仿宋" w:cs="仿宋"/>
                <w:sz w:val="24"/>
              </w:rPr>
            </w:pPr>
          </w:p>
        </w:tc>
        <w:tc>
          <w:tcPr>
            <w:tcW w:w="4867" w:type="dxa"/>
            <w:gridSpan w:val="3"/>
            <w:noWrap w:val="0"/>
            <w:vAlign w:val="center"/>
          </w:tcPr>
          <w:p w14:paraId="21416F89">
            <w:pPr>
              <w:rPr>
                <w:rFonts w:hint="eastAsia" w:ascii="仿宋" w:hAnsi="仿宋" w:eastAsia="仿宋" w:cs="仿宋"/>
                <w:sz w:val="24"/>
              </w:rPr>
            </w:pPr>
            <w:r>
              <w:rPr>
                <w:rFonts w:hint="eastAsia" w:ascii="仿宋" w:hAnsi="仿宋" w:eastAsia="仿宋" w:cs="仿宋"/>
                <w:sz w:val="24"/>
              </w:rPr>
              <w:t>胸、脊椎压缩性骨折</w:t>
            </w:r>
          </w:p>
        </w:tc>
        <w:tc>
          <w:tcPr>
            <w:tcW w:w="1277" w:type="dxa"/>
            <w:noWrap w:val="0"/>
            <w:vAlign w:val="center"/>
          </w:tcPr>
          <w:p w14:paraId="1C2D50B4">
            <w:pPr>
              <w:jc w:val="center"/>
              <w:rPr>
                <w:rFonts w:hint="eastAsia" w:ascii="仿宋" w:hAnsi="仿宋" w:eastAsia="仿宋" w:cs="仿宋"/>
                <w:sz w:val="24"/>
              </w:rPr>
            </w:pPr>
            <w:r>
              <w:rPr>
                <w:rFonts w:hint="eastAsia" w:ascii="仿宋" w:hAnsi="仿宋" w:eastAsia="仿宋" w:cs="仿宋"/>
                <w:sz w:val="24"/>
              </w:rPr>
              <w:t>15%</w:t>
            </w:r>
          </w:p>
        </w:tc>
        <w:tc>
          <w:tcPr>
            <w:tcW w:w="1979" w:type="dxa"/>
            <w:gridSpan w:val="3"/>
            <w:noWrap w:val="0"/>
            <w:vAlign w:val="center"/>
          </w:tcPr>
          <w:p w14:paraId="73064641">
            <w:pPr>
              <w:jc w:val="center"/>
              <w:rPr>
                <w:rFonts w:hint="eastAsia" w:ascii="仿宋" w:hAnsi="仿宋" w:eastAsia="仿宋" w:cs="仿宋"/>
                <w:sz w:val="24"/>
              </w:rPr>
            </w:pPr>
          </w:p>
        </w:tc>
      </w:tr>
      <w:tr w14:paraId="06D0D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noWrap w:val="0"/>
            <w:vAlign w:val="center"/>
          </w:tcPr>
          <w:p w14:paraId="4E69BFFD">
            <w:pPr>
              <w:jc w:val="center"/>
              <w:rPr>
                <w:rFonts w:hint="eastAsia" w:ascii="仿宋" w:hAnsi="仿宋" w:eastAsia="仿宋" w:cs="仿宋"/>
                <w:sz w:val="24"/>
              </w:rPr>
            </w:pPr>
            <w:r>
              <w:rPr>
                <w:rFonts w:hint="eastAsia" w:ascii="仿宋" w:hAnsi="仿宋" w:eastAsia="仿宋" w:cs="仿宋"/>
                <w:sz w:val="24"/>
              </w:rPr>
              <w:t>伤残部位</w:t>
            </w:r>
          </w:p>
        </w:tc>
        <w:tc>
          <w:tcPr>
            <w:tcW w:w="4670" w:type="dxa"/>
            <w:noWrap w:val="0"/>
            <w:vAlign w:val="center"/>
          </w:tcPr>
          <w:p w14:paraId="35DB9E23">
            <w:pPr>
              <w:jc w:val="center"/>
              <w:rPr>
                <w:rFonts w:hint="eastAsia" w:ascii="仿宋" w:hAnsi="仿宋" w:eastAsia="仿宋" w:cs="仿宋"/>
                <w:sz w:val="24"/>
              </w:rPr>
            </w:pPr>
            <w:r>
              <w:rPr>
                <w:rFonts w:hint="eastAsia" w:ascii="仿宋" w:hAnsi="仿宋" w:eastAsia="仿宋" w:cs="仿宋"/>
                <w:sz w:val="24"/>
              </w:rPr>
              <w:t>伤残程度</w:t>
            </w:r>
          </w:p>
        </w:tc>
        <w:tc>
          <w:tcPr>
            <w:tcW w:w="1610" w:type="dxa"/>
            <w:gridSpan w:val="3"/>
            <w:noWrap w:val="0"/>
            <w:vAlign w:val="center"/>
          </w:tcPr>
          <w:p w14:paraId="261CC143">
            <w:pPr>
              <w:jc w:val="center"/>
              <w:rPr>
                <w:rFonts w:hint="eastAsia" w:ascii="仿宋" w:hAnsi="仿宋" w:eastAsia="仿宋" w:cs="仿宋"/>
                <w:sz w:val="24"/>
              </w:rPr>
            </w:pPr>
            <w:r>
              <w:rPr>
                <w:rFonts w:hint="eastAsia" w:ascii="仿宋" w:hAnsi="仿宋" w:eastAsia="仿宋" w:cs="仿宋"/>
                <w:sz w:val="24"/>
              </w:rPr>
              <w:t>赔付比例</w:t>
            </w:r>
          </w:p>
        </w:tc>
        <w:tc>
          <w:tcPr>
            <w:tcW w:w="1748" w:type="dxa"/>
            <w:noWrap w:val="0"/>
            <w:vAlign w:val="center"/>
          </w:tcPr>
          <w:p w14:paraId="3FE0E30B">
            <w:pPr>
              <w:jc w:val="center"/>
              <w:rPr>
                <w:rFonts w:hint="eastAsia" w:ascii="仿宋" w:hAnsi="仿宋" w:eastAsia="仿宋" w:cs="仿宋"/>
                <w:sz w:val="24"/>
              </w:rPr>
            </w:pPr>
            <w:r>
              <w:rPr>
                <w:rFonts w:hint="eastAsia" w:ascii="仿宋" w:hAnsi="仿宋" w:eastAsia="仿宋" w:cs="仿宋"/>
                <w:sz w:val="24"/>
              </w:rPr>
              <w:t>备   注</w:t>
            </w:r>
          </w:p>
        </w:tc>
      </w:tr>
      <w:tr w14:paraId="41AF6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vMerge w:val="restart"/>
            <w:noWrap w:val="0"/>
            <w:vAlign w:val="center"/>
          </w:tcPr>
          <w:p w14:paraId="7B86D902">
            <w:pPr>
              <w:jc w:val="center"/>
              <w:rPr>
                <w:rFonts w:hint="eastAsia" w:ascii="仿宋" w:hAnsi="仿宋" w:eastAsia="仿宋" w:cs="仿宋"/>
                <w:sz w:val="24"/>
              </w:rPr>
            </w:pPr>
            <w:r>
              <w:rPr>
                <w:rFonts w:hint="eastAsia" w:ascii="仿宋" w:hAnsi="仿宋" w:eastAsia="仿宋" w:cs="仿宋"/>
                <w:sz w:val="24"/>
              </w:rPr>
              <w:t>面</w:t>
            </w:r>
          </w:p>
          <w:p w14:paraId="5F9B1371">
            <w:pPr>
              <w:jc w:val="center"/>
              <w:rPr>
                <w:rFonts w:hint="eastAsia" w:ascii="仿宋" w:hAnsi="仿宋" w:eastAsia="仿宋" w:cs="仿宋"/>
                <w:sz w:val="24"/>
              </w:rPr>
            </w:pPr>
            <w:r>
              <w:rPr>
                <w:rFonts w:hint="eastAsia" w:ascii="仿宋" w:hAnsi="仿宋" w:eastAsia="仿宋" w:cs="仿宋"/>
                <w:sz w:val="24"/>
              </w:rPr>
              <w:t>部</w:t>
            </w:r>
          </w:p>
        </w:tc>
        <w:tc>
          <w:tcPr>
            <w:tcW w:w="4670" w:type="dxa"/>
            <w:noWrap w:val="0"/>
            <w:vAlign w:val="center"/>
          </w:tcPr>
          <w:p w14:paraId="32C1F621">
            <w:pPr>
              <w:rPr>
                <w:rFonts w:hint="eastAsia" w:ascii="仿宋" w:hAnsi="仿宋" w:eastAsia="仿宋" w:cs="仿宋"/>
                <w:sz w:val="24"/>
              </w:rPr>
            </w:pPr>
            <w:r>
              <w:rPr>
                <w:rFonts w:hint="eastAsia" w:ascii="仿宋" w:hAnsi="仿宋" w:eastAsia="仿宋" w:cs="仿宋"/>
                <w:sz w:val="24"/>
              </w:rPr>
              <w:t>一耳鼓膜外伤性全部缺损或听力丧失</w:t>
            </w:r>
          </w:p>
        </w:tc>
        <w:tc>
          <w:tcPr>
            <w:tcW w:w="1610" w:type="dxa"/>
            <w:gridSpan w:val="3"/>
            <w:noWrap w:val="0"/>
            <w:vAlign w:val="center"/>
          </w:tcPr>
          <w:p w14:paraId="7A6AF06F">
            <w:pPr>
              <w:jc w:val="center"/>
              <w:rPr>
                <w:rFonts w:hint="eastAsia" w:ascii="仿宋" w:hAnsi="仿宋" w:eastAsia="仿宋" w:cs="仿宋"/>
                <w:sz w:val="24"/>
              </w:rPr>
            </w:pPr>
            <w:r>
              <w:rPr>
                <w:rFonts w:hint="eastAsia" w:ascii="仿宋" w:hAnsi="仿宋" w:eastAsia="仿宋" w:cs="仿宋"/>
                <w:sz w:val="24"/>
              </w:rPr>
              <w:t>20%</w:t>
            </w:r>
          </w:p>
        </w:tc>
        <w:tc>
          <w:tcPr>
            <w:tcW w:w="1748" w:type="dxa"/>
            <w:noWrap w:val="0"/>
            <w:vAlign w:val="center"/>
          </w:tcPr>
          <w:p w14:paraId="386E987A">
            <w:pPr>
              <w:jc w:val="center"/>
              <w:rPr>
                <w:rFonts w:hint="eastAsia" w:ascii="仿宋" w:hAnsi="仿宋" w:eastAsia="仿宋" w:cs="仿宋"/>
                <w:sz w:val="24"/>
              </w:rPr>
            </w:pPr>
          </w:p>
        </w:tc>
      </w:tr>
      <w:tr w14:paraId="568CB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vMerge w:val="continue"/>
            <w:noWrap w:val="0"/>
            <w:vAlign w:val="center"/>
          </w:tcPr>
          <w:p w14:paraId="7D1CB0CC">
            <w:pPr>
              <w:jc w:val="center"/>
              <w:rPr>
                <w:rFonts w:hint="eastAsia" w:ascii="仿宋" w:hAnsi="仿宋" w:eastAsia="仿宋" w:cs="仿宋"/>
                <w:sz w:val="24"/>
              </w:rPr>
            </w:pPr>
          </w:p>
        </w:tc>
        <w:tc>
          <w:tcPr>
            <w:tcW w:w="4670" w:type="dxa"/>
            <w:noWrap w:val="0"/>
            <w:vAlign w:val="center"/>
          </w:tcPr>
          <w:p w14:paraId="30619B2B">
            <w:pPr>
              <w:rPr>
                <w:rFonts w:hint="eastAsia" w:ascii="仿宋" w:hAnsi="仿宋" w:eastAsia="仿宋" w:cs="仿宋"/>
                <w:sz w:val="24"/>
              </w:rPr>
            </w:pPr>
            <w:r>
              <w:rPr>
                <w:rFonts w:hint="eastAsia" w:ascii="仿宋" w:hAnsi="仿宋" w:eastAsia="仿宋" w:cs="仿宋"/>
                <w:sz w:val="24"/>
              </w:rPr>
              <w:t>面骨骨折(含颌骨、颧骨、颚骨)</w:t>
            </w:r>
          </w:p>
        </w:tc>
        <w:tc>
          <w:tcPr>
            <w:tcW w:w="1610" w:type="dxa"/>
            <w:gridSpan w:val="3"/>
            <w:noWrap w:val="0"/>
            <w:vAlign w:val="center"/>
          </w:tcPr>
          <w:p w14:paraId="35264CFB">
            <w:pPr>
              <w:jc w:val="center"/>
              <w:rPr>
                <w:rFonts w:hint="eastAsia" w:ascii="仿宋" w:hAnsi="仿宋" w:eastAsia="仿宋" w:cs="仿宋"/>
                <w:sz w:val="24"/>
              </w:rPr>
            </w:pPr>
            <w:r>
              <w:rPr>
                <w:rFonts w:hint="eastAsia" w:ascii="仿宋" w:hAnsi="仿宋" w:eastAsia="仿宋" w:cs="仿宋"/>
                <w:sz w:val="24"/>
              </w:rPr>
              <w:t>5%</w:t>
            </w:r>
          </w:p>
        </w:tc>
        <w:tc>
          <w:tcPr>
            <w:tcW w:w="1748" w:type="dxa"/>
            <w:noWrap w:val="0"/>
            <w:vAlign w:val="center"/>
          </w:tcPr>
          <w:p w14:paraId="1562283F">
            <w:pPr>
              <w:jc w:val="center"/>
              <w:rPr>
                <w:rFonts w:hint="eastAsia" w:ascii="仿宋" w:hAnsi="仿宋" w:eastAsia="仿宋" w:cs="仿宋"/>
                <w:sz w:val="24"/>
              </w:rPr>
            </w:pPr>
          </w:p>
        </w:tc>
      </w:tr>
      <w:tr w14:paraId="72F1E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vMerge w:val="continue"/>
            <w:noWrap w:val="0"/>
            <w:vAlign w:val="center"/>
          </w:tcPr>
          <w:p w14:paraId="39042680">
            <w:pPr>
              <w:jc w:val="center"/>
              <w:rPr>
                <w:rFonts w:hint="eastAsia" w:ascii="仿宋" w:hAnsi="仿宋" w:eastAsia="仿宋" w:cs="仿宋"/>
                <w:sz w:val="24"/>
              </w:rPr>
            </w:pPr>
          </w:p>
        </w:tc>
        <w:tc>
          <w:tcPr>
            <w:tcW w:w="4670" w:type="dxa"/>
            <w:noWrap w:val="0"/>
            <w:vAlign w:val="center"/>
          </w:tcPr>
          <w:p w14:paraId="5ABB1E50">
            <w:pPr>
              <w:rPr>
                <w:rFonts w:hint="eastAsia" w:ascii="仿宋" w:hAnsi="仿宋" w:eastAsia="仿宋" w:cs="仿宋"/>
                <w:sz w:val="24"/>
              </w:rPr>
            </w:pPr>
            <w:r>
              <w:rPr>
                <w:rFonts w:hint="eastAsia" w:ascii="仿宋" w:hAnsi="仿宋" w:eastAsia="仿宋" w:cs="仿宋"/>
                <w:sz w:val="24"/>
              </w:rPr>
              <w:t>鼻骨骨折</w:t>
            </w:r>
          </w:p>
        </w:tc>
        <w:tc>
          <w:tcPr>
            <w:tcW w:w="1610" w:type="dxa"/>
            <w:gridSpan w:val="3"/>
            <w:noWrap w:val="0"/>
            <w:vAlign w:val="center"/>
          </w:tcPr>
          <w:p w14:paraId="18B11B4A">
            <w:pPr>
              <w:jc w:val="center"/>
              <w:rPr>
                <w:rFonts w:hint="eastAsia" w:ascii="仿宋" w:hAnsi="仿宋" w:eastAsia="仿宋" w:cs="仿宋"/>
                <w:sz w:val="24"/>
              </w:rPr>
            </w:pPr>
            <w:r>
              <w:rPr>
                <w:rFonts w:hint="eastAsia" w:ascii="仿宋" w:hAnsi="仿宋" w:eastAsia="仿宋" w:cs="仿宋"/>
                <w:sz w:val="24"/>
              </w:rPr>
              <w:t>3%</w:t>
            </w:r>
          </w:p>
        </w:tc>
        <w:tc>
          <w:tcPr>
            <w:tcW w:w="1748" w:type="dxa"/>
            <w:noWrap w:val="0"/>
            <w:vAlign w:val="center"/>
          </w:tcPr>
          <w:p w14:paraId="4AAB14CB">
            <w:pPr>
              <w:jc w:val="center"/>
              <w:rPr>
                <w:rFonts w:hint="eastAsia" w:ascii="仿宋" w:hAnsi="仿宋" w:eastAsia="仿宋" w:cs="仿宋"/>
                <w:sz w:val="24"/>
              </w:rPr>
            </w:pPr>
          </w:p>
        </w:tc>
      </w:tr>
      <w:tr w14:paraId="0FB43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vMerge w:val="continue"/>
            <w:noWrap w:val="0"/>
            <w:vAlign w:val="center"/>
          </w:tcPr>
          <w:p w14:paraId="543DBDAC">
            <w:pPr>
              <w:jc w:val="center"/>
              <w:rPr>
                <w:rFonts w:hint="eastAsia" w:ascii="仿宋" w:hAnsi="仿宋" w:eastAsia="仿宋" w:cs="仿宋"/>
                <w:sz w:val="24"/>
              </w:rPr>
            </w:pPr>
          </w:p>
        </w:tc>
        <w:tc>
          <w:tcPr>
            <w:tcW w:w="4670" w:type="dxa"/>
            <w:noWrap w:val="0"/>
            <w:vAlign w:val="center"/>
          </w:tcPr>
          <w:p w14:paraId="0EFA86DF">
            <w:pPr>
              <w:rPr>
                <w:rFonts w:hint="eastAsia" w:ascii="仿宋" w:hAnsi="仿宋" w:eastAsia="仿宋" w:cs="仿宋"/>
                <w:sz w:val="24"/>
              </w:rPr>
            </w:pPr>
            <w:r>
              <w:rPr>
                <w:rFonts w:hint="eastAsia" w:ascii="仿宋" w:hAnsi="仿宋" w:eastAsia="仿宋" w:cs="仿宋"/>
                <w:sz w:val="24"/>
              </w:rPr>
              <w:t>牙齿外伤型缺失三齿以上</w:t>
            </w:r>
          </w:p>
        </w:tc>
        <w:tc>
          <w:tcPr>
            <w:tcW w:w="1610" w:type="dxa"/>
            <w:gridSpan w:val="3"/>
            <w:noWrap w:val="0"/>
            <w:vAlign w:val="center"/>
          </w:tcPr>
          <w:p w14:paraId="66572D34">
            <w:pPr>
              <w:jc w:val="center"/>
              <w:rPr>
                <w:rFonts w:hint="eastAsia" w:ascii="仿宋" w:hAnsi="仿宋" w:eastAsia="仿宋" w:cs="仿宋"/>
                <w:sz w:val="24"/>
              </w:rPr>
            </w:pPr>
            <w:r>
              <w:rPr>
                <w:rFonts w:hint="eastAsia" w:ascii="仿宋" w:hAnsi="仿宋" w:eastAsia="仿宋" w:cs="仿宋"/>
                <w:sz w:val="24"/>
              </w:rPr>
              <w:t>3%</w:t>
            </w:r>
          </w:p>
        </w:tc>
        <w:tc>
          <w:tcPr>
            <w:tcW w:w="1748" w:type="dxa"/>
            <w:noWrap w:val="0"/>
            <w:vAlign w:val="center"/>
          </w:tcPr>
          <w:p w14:paraId="51B3A997">
            <w:pPr>
              <w:jc w:val="center"/>
              <w:rPr>
                <w:rFonts w:hint="eastAsia" w:ascii="仿宋" w:hAnsi="仿宋" w:eastAsia="仿宋" w:cs="仿宋"/>
                <w:sz w:val="24"/>
              </w:rPr>
            </w:pPr>
          </w:p>
        </w:tc>
      </w:tr>
      <w:tr w14:paraId="1FCDF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vMerge w:val="restart"/>
            <w:noWrap w:val="0"/>
            <w:vAlign w:val="center"/>
          </w:tcPr>
          <w:p w14:paraId="5B9A2850">
            <w:pPr>
              <w:jc w:val="center"/>
              <w:rPr>
                <w:rFonts w:hint="eastAsia" w:ascii="仿宋" w:hAnsi="仿宋" w:eastAsia="仿宋" w:cs="仿宋"/>
                <w:sz w:val="24"/>
              </w:rPr>
            </w:pPr>
            <w:r>
              <w:rPr>
                <w:rFonts w:hint="eastAsia" w:ascii="仿宋" w:hAnsi="仿宋" w:eastAsia="仿宋" w:cs="仿宋"/>
                <w:sz w:val="24"/>
              </w:rPr>
              <w:t>皮</w:t>
            </w:r>
          </w:p>
          <w:p w14:paraId="71E433A8">
            <w:pPr>
              <w:jc w:val="center"/>
              <w:rPr>
                <w:rFonts w:hint="eastAsia" w:ascii="仿宋" w:hAnsi="仿宋" w:eastAsia="仿宋" w:cs="仿宋"/>
                <w:sz w:val="24"/>
              </w:rPr>
            </w:pPr>
            <w:r>
              <w:rPr>
                <w:rFonts w:hint="eastAsia" w:ascii="仿宋" w:hAnsi="仿宋" w:eastAsia="仿宋" w:cs="仿宋"/>
                <w:sz w:val="24"/>
              </w:rPr>
              <w:t>肤</w:t>
            </w:r>
          </w:p>
        </w:tc>
        <w:tc>
          <w:tcPr>
            <w:tcW w:w="4670" w:type="dxa"/>
            <w:noWrap w:val="0"/>
            <w:vAlign w:val="center"/>
          </w:tcPr>
          <w:p w14:paraId="6B8C5527">
            <w:pPr>
              <w:rPr>
                <w:rFonts w:hint="eastAsia" w:ascii="仿宋" w:hAnsi="仿宋" w:eastAsia="仿宋" w:cs="仿宋"/>
                <w:sz w:val="24"/>
              </w:rPr>
            </w:pPr>
            <w:r>
              <w:rPr>
                <w:rFonts w:hint="eastAsia" w:ascii="仿宋" w:hAnsi="仿宋" w:eastAsia="仿宋" w:cs="仿宋"/>
                <w:sz w:val="24"/>
              </w:rPr>
              <w:t>烧伤Ⅲ度,体表面积50%以上</w:t>
            </w:r>
          </w:p>
        </w:tc>
        <w:tc>
          <w:tcPr>
            <w:tcW w:w="1610" w:type="dxa"/>
            <w:gridSpan w:val="3"/>
            <w:noWrap w:val="0"/>
            <w:vAlign w:val="center"/>
          </w:tcPr>
          <w:p w14:paraId="3DA2E66C">
            <w:pPr>
              <w:jc w:val="center"/>
              <w:rPr>
                <w:rFonts w:hint="eastAsia" w:ascii="仿宋" w:hAnsi="仿宋" w:eastAsia="仿宋" w:cs="仿宋"/>
                <w:sz w:val="24"/>
              </w:rPr>
            </w:pPr>
            <w:r>
              <w:rPr>
                <w:rFonts w:hint="eastAsia" w:ascii="仿宋" w:hAnsi="仿宋" w:eastAsia="仿宋" w:cs="仿宋"/>
                <w:sz w:val="24"/>
              </w:rPr>
              <w:t>85%</w:t>
            </w:r>
          </w:p>
        </w:tc>
        <w:tc>
          <w:tcPr>
            <w:tcW w:w="1748" w:type="dxa"/>
            <w:vMerge w:val="restart"/>
            <w:noWrap w:val="0"/>
            <w:vAlign w:val="center"/>
          </w:tcPr>
          <w:p w14:paraId="466B20B5">
            <w:pPr>
              <w:jc w:val="center"/>
              <w:rPr>
                <w:rFonts w:hint="eastAsia" w:ascii="仿宋" w:hAnsi="仿宋" w:eastAsia="仿宋" w:cs="仿宋"/>
                <w:sz w:val="24"/>
              </w:rPr>
            </w:pPr>
            <w:r>
              <w:rPr>
                <w:rFonts w:hint="eastAsia" w:ascii="仿宋" w:hAnsi="仿宋" w:eastAsia="仿宋" w:cs="仿宋"/>
                <w:sz w:val="24"/>
              </w:rPr>
              <w:t>实际烧伤面积小于伤残规定面积的，按实际烧伤面积与伤残规定面积的相应比例赔偿</w:t>
            </w:r>
          </w:p>
        </w:tc>
      </w:tr>
      <w:tr w14:paraId="4A85A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vMerge w:val="continue"/>
            <w:noWrap w:val="0"/>
            <w:vAlign w:val="center"/>
          </w:tcPr>
          <w:p w14:paraId="6BECF1A2">
            <w:pPr>
              <w:jc w:val="center"/>
              <w:rPr>
                <w:rFonts w:hint="eastAsia" w:ascii="仿宋" w:hAnsi="仿宋" w:eastAsia="仿宋" w:cs="仿宋"/>
                <w:sz w:val="24"/>
              </w:rPr>
            </w:pPr>
          </w:p>
        </w:tc>
        <w:tc>
          <w:tcPr>
            <w:tcW w:w="4670" w:type="dxa"/>
            <w:noWrap w:val="0"/>
            <w:vAlign w:val="center"/>
          </w:tcPr>
          <w:p w14:paraId="6B685319">
            <w:pPr>
              <w:rPr>
                <w:rFonts w:hint="eastAsia" w:ascii="仿宋" w:hAnsi="仿宋" w:eastAsia="仿宋" w:cs="仿宋"/>
                <w:sz w:val="24"/>
              </w:rPr>
            </w:pPr>
            <w:r>
              <w:rPr>
                <w:rFonts w:hint="eastAsia" w:ascii="仿宋" w:hAnsi="仿宋" w:eastAsia="仿宋" w:cs="仿宋"/>
                <w:sz w:val="24"/>
              </w:rPr>
              <w:t>烧伤Ⅱ度,体表面积50%以上</w:t>
            </w:r>
          </w:p>
        </w:tc>
        <w:tc>
          <w:tcPr>
            <w:tcW w:w="1610" w:type="dxa"/>
            <w:gridSpan w:val="3"/>
            <w:noWrap w:val="0"/>
            <w:vAlign w:val="center"/>
          </w:tcPr>
          <w:p w14:paraId="20BE8AEF">
            <w:pPr>
              <w:jc w:val="center"/>
              <w:rPr>
                <w:rFonts w:hint="eastAsia" w:ascii="仿宋" w:hAnsi="仿宋" w:eastAsia="仿宋" w:cs="仿宋"/>
                <w:sz w:val="24"/>
              </w:rPr>
            </w:pPr>
            <w:r>
              <w:rPr>
                <w:rFonts w:hint="eastAsia" w:ascii="仿宋" w:hAnsi="仿宋" w:eastAsia="仿宋" w:cs="仿宋"/>
                <w:sz w:val="24"/>
              </w:rPr>
              <w:t>30%</w:t>
            </w:r>
          </w:p>
        </w:tc>
        <w:tc>
          <w:tcPr>
            <w:tcW w:w="1748" w:type="dxa"/>
            <w:vMerge w:val="continue"/>
            <w:noWrap w:val="0"/>
            <w:vAlign w:val="center"/>
          </w:tcPr>
          <w:p w14:paraId="70116DEB">
            <w:pPr>
              <w:jc w:val="center"/>
              <w:rPr>
                <w:rFonts w:hint="eastAsia" w:ascii="仿宋" w:hAnsi="仿宋" w:eastAsia="仿宋" w:cs="仿宋"/>
                <w:sz w:val="24"/>
              </w:rPr>
            </w:pPr>
          </w:p>
        </w:tc>
      </w:tr>
      <w:tr w14:paraId="5A5A68F2">
        <w:tblPrEx>
          <w:tblCellMar>
            <w:top w:w="0" w:type="dxa"/>
            <w:left w:w="108" w:type="dxa"/>
            <w:bottom w:w="0" w:type="dxa"/>
            <w:right w:w="108" w:type="dxa"/>
          </w:tblCellMar>
        </w:tblPrEx>
        <w:trPr>
          <w:gridAfter w:val="1"/>
          <w:wAfter w:w="44" w:type="dxa"/>
          <w:trHeight w:val="482" w:hRule="atLeast"/>
          <w:jc w:val="center"/>
        </w:trPr>
        <w:tc>
          <w:tcPr>
            <w:tcW w:w="1288" w:type="dxa"/>
            <w:gridSpan w:val="3"/>
            <w:vMerge w:val="continue"/>
            <w:noWrap w:val="0"/>
            <w:vAlign w:val="center"/>
          </w:tcPr>
          <w:p w14:paraId="46E8DE5B">
            <w:pPr>
              <w:jc w:val="center"/>
              <w:rPr>
                <w:rFonts w:hint="eastAsia" w:ascii="仿宋" w:hAnsi="仿宋" w:eastAsia="仿宋" w:cs="仿宋"/>
                <w:sz w:val="24"/>
              </w:rPr>
            </w:pPr>
          </w:p>
        </w:tc>
        <w:tc>
          <w:tcPr>
            <w:tcW w:w="4670" w:type="dxa"/>
            <w:noWrap w:val="0"/>
            <w:vAlign w:val="center"/>
          </w:tcPr>
          <w:p w14:paraId="7EF9657A">
            <w:pPr>
              <w:rPr>
                <w:rFonts w:hint="eastAsia" w:ascii="仿宋" w:hAnsi="仿宋" w:eastAsia="仿宋" w:cs="仿宋"/>
                <w:sz w:val="24"/>
              </w:rPr>
            </w:pPr>
            <w:r>
              <w:rPr>
                <w:rFonts w:hint="eastAsia" w:ascii="仿宋" w:hAnsi="仿宋" w:eastAsia="仿宋" w:cs="仿宋"/>
                <w:sz w:val="24"/>
              </w:rPr>
              <w:t>烧伤Ⅰ度,体表面积30%以上</w:t>
            </w:r>
          </w:p>
        </w:tc>
        <w:tc>
          <w:tcPr>
            <w:tcW w:w="1610" w:type="dxa"/>
            <w:gridSpan w:val="3"/>
            <w:noWrap w:val="0"/>
            <w:vAlign w:val="center"/>
          </w:tcPr>
          <w:p w14:paraId="5399460B">
            <w:pPr>
              <w:jc w:val="center"/>
              <w:rPr>
                <w:rFonts w:hint="eastAsia" w:ascii="仿宋" w:hAnsi="仿宋" w:eastAsia="仿宋" w:cs="仿宋"/>
                <w:sz w:val="24"/>
              </w:rPr>
            </w:pPr>
            <w:r>
              <w:rPr>
                <w:rFonts w:hint="eastAsia" w:ascii="仿宋" w:hAnsi="仿宋" w:eastAsia="仿宋" w:cs="仿宋"/>
                <w:sz w:val="24"/>
              </w:rPr>
              <w:t>10%</w:t>
            </w:r>
          </w:p>
        </w:tc>
        <w:tc>
          <w:tcPr>
            <w:tcW w:w="1748" w:type="dxa"/>
            <w:vMerge w:val="continue"/>
            <w:noWrap w:val="0"/>
            <w:vAlign w:val="center"/>
          </w:tcPr>
          <w:p w14:paraId="601B9492">
            <w:pPr>
              <w:jc w:val="center"/>
              <w:rPr>
                <w:rFonts w:hint="eastAsia" w:ascii="仿宋" w:hAnsi="仿宋" w:eastAsia="仿宋" w:cs="仿宋"/>
                <w:sz w:val="24"/>
              </w:rPr>
            </w:pPr>
          </w:p>
        </w:tc>
      </w:tr>
      <w:tr w14:paraId="1CEF2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568" w:type="dxa"/>
            <w:vMerge w:val="restart"/>
            <w:noWrap w:val="0"/>
            <w:vAlign w:val="center"/>
          </w:tcPr>
          <w:p w14:paraId="64C375AC">
            <w:pPr>
              <w:jc w:val="center"/>
              <w:rPr>
                <w:rFonts w:hint="eastAsia" w:ascii="仿宋" w:hAnsi="仿宋" w:eastAsia="仿宋" w:cs="仿宋"/>
                <w:sz w:val="24"/>
              </w:rPr>
            </w:pPr>
            <w:r>
              <w:rPr>
                <w:rFonts w:hint="eastAsia" w:ascii="仿宋" w:hAnsi="仿宋" w:eastAsia="仿宋" w:cs="仿宋"/>
                <w:sz w:val="24"/>
              </w:rPr>
              <w:t>脑</w:t>
            </w:r>
          </w:p>
          <w:p w14:paraId="53D54355">
            <w:pPr>
              <w:jc w:val="center"/>
              <w:rPr>
                <w:rFonts w:hint="eastAsia" w:ascii="仿宋" w:hAnsi="仿宋" w:eastAsia="仿宋" w:cs="仿宋"/>
                <w:sz w:val="24"/>
              </w:rPr>
            </w:pPr>
          </w:p>
          <w:p w14:paraId="03CC29C0">
            <w:pPr>
              <w:jc w:val="center"/>
              <w:rPr>
                <w:rFonts w:hint="eastAsia" w:ascii="仿宋" w:hAnsi="仿宋" w:eastAsia="仿宋" w:cs="仿宋"/>
                <w:sz w:val="24"/>
              </w:rPr>
            </w:pPr>
          </w:p>
          <w:p w14:paraId="7D289BE6">
            <w:pPr>
              <w:jc w:val="center"/>
              <w:rPr>
                <w:rFonts w:hint="eastAsia" w:ascii="仿宋" w:hAnsi="仿宋" w:eastAsia="仿宋" w:cs="仿宋"/>
                <w:sz w:val="24"/>
              </w:rPr>
            </w:pPr>
            <w:r>
              <w:rPr>
                <w:rFonts w:hint="eastAsia" w:ascii="仿宋" w:hAnsi="仿宋" w:eastAsia="仿宋" w:cs="仿宋"/>
                <w:sz w:val="24"/>
              </w:rPr>
              <w:t>部</w:t>
            </w:r>
          </w:p>
        </w:tc>
        <w:tc>
          <w:tcPr>
            <w:tcW w:w="720" w:type="dxa"/>
            <w:gridSpan w:val="2"/>
            <w:vMerge w:val="restart"/>
            <w:noWrap w:val="0"/>
            <w:vAlign w:val="center"/>
          </w:tcPr>
          <w:p w14:paraId="706F6845">
            <w:pPr>
              <w:jc w:val="center"/>
              <w:rPr>
                <w:rFonts w:hint="eastAsia" w:ascii="仿宋" w:hAnsi="仿宋" w:eastAsia="仿宋" w:cs="仿宋"/>
                <w:sz w:val="24"/>
              </w:rPr>
            </w:pPr>
            <w:r>
              <w:rPr>
                <w:rFonts w:hint="eastAsia" w:ascii="仿宋" w:hAnsi="仿宋" w:eastAsia="仿宋" w:cs="仿宋"/>
                <w:sz w:val="24"/>
              </w:rPr>
              <w:t>外</w:t>
            </w:r>
          </w:p>
          <w:p w14:paraId="470CE23E">
            <w:pPr>
              <w:jc w:val="center"/>
              <w:rPr>
                <w:rFonts w:hint="eastAsia" w:ascii="仿宋" w:hAnsi="仿宋" w:eastAsia="仿宋" w:cs="仿宋"/>
                <w:sz w:val="24"/>
              </w:rPr>
            </w:pPr>
          </w:p>
          <w:p w14:paraId="3FE70915">
            <w:pPr>
              <w:jc w:val="center"/>
              <w:rPr>
                <w:rFonts w:hint="eastAsia" w:ascii="仿宋" w:hAnsi="仿宋" w:eastAsia="仿宋" w:cs="仿宋"/>
                <w:sz w:val="24"/>
              </w:rPr>
            </w:pPr>
            <w:r>
              <w:rPr>
                <w:rFonts w:hint="eastAsia" w:ascii="仿宋" w:hAnsi="仿宋" w:eastAsia="仿宋" w:cs="仿宋"/>
                <w:sz w:val="24"/>
              </w:rPr>
              <w:t>伤</w:t>
            </w:r>
          </w:p>
        </w:tc>
        <w:tc>
          <w:tcPr>
            <w:tcW w:w="4670" w:type="dxa"/>
            <w:noWrap w:val="0"/>
            <w:vAlign w:val="center"/>
          </w:tcPr>
          <w:p w14:paraId="76A1D72A">
            <w:pPr>
              <w:rPr>
                <w:rFonts w:hint="eastAsia" w:ascii="仿宋" w:hAnsi="仿宋" w:eastAsia="仿宋" w:cs="仿宋"/>
                <w:sz w:val="24"/>
              </w:rPr>
            </w:pPr>
            <w:r>
              <w:rPr>
                <w:rFonts w:hint="eastAsia" w:ascii="仿宋" w:hAnsi="仿宋" w:eastAsia="仿宋" w:cs="仿宋"/>
                <w:sz w:val="24"/>
              </w:rPr>
              <w:t>头盖骨骨折</w:t>
            </w:r>
          </w:p>
        </w:tc>
        <w:tc>
          <w:tcPr>
            <w:tcW w:w="1610" w:type="dxa"/>
            <w:gridSpan w:val="3"/>
            <w:noWrap w:val="0"/>
            <w:vAlign w:val="center"/>
          </w:tcPr>
          <w:p w14:paraId="5043A8F3">
            <w:pPr>
              <w:jc w:val="center"/>
              <w:rPr>
                <w:rFonts w:hint="eastAsia" w:ascii="仿宋" w:hAnsi="仿宋" w:eastAsia="仿宋" w:cs="仿宋"/>
                <w:sz w:val="24"/>
              </w:rPr>
            </w:pPr>
            <w:r>
              <w:rPr>
                <w:rFonts w:hint="eastAsia" w:ascii="仿宋" w:hAnsi="仿宋" w:eastAsia="仿宋" w:cs="仿宋"/>
                <w:sz w:val="24"/>
              </w:rPr>
              <w:t>5%</w:t>
            </w:r>
          </w:p>
        </w:tc>
        <w:tc>
          <w:tcPr>
            <w:tcW w:w="1748" w:type="dxa"/>
            <w:noWrap w:val="0"/>
            <w:vAlign w:val="center"/>
          </w:tcPr>
          <w:p w14:paraId="5F25B869">
            <w:pPr>
              <w:jc w:val="center"/>
              <w:rPr>
                <w:rFonts w:hint="eastAsia" w:ascii="仿宋" w:hAnsi="仿宋" w:eastAsia="仿宋" w:cs="仿宋"/>
                <w:sz w:val="24"/>
              </w:rPr>
            </w:pPr>
          </w:p>
        </w:tc>
      </w:tr>
      <w:tr w14:paraId="29069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568" w:type="dxa"/>
            <w:vMerge w:val="continue"/>
            <w:noWrap w:val="0"/>
            <w:vAlign w:val="center"/>
          </w:tcPr>
          <w:p w14:paraId="6B205198">
            <w:pPr>
              <w:jc w:val="center"/>
              <w:rPr>
                <w:rFonts w:hint="eastAsia" w:ascii="仿宋" w:hAnsi="仿宋" w:eastAsia="仿宋" w:cs="仿宋"/>
                <w:sz w:val="24"/>
              </w:rPr>
            </w:pPr>
          </w:p>
        </w:tc>
        <w:tc>
          <w:tcPr>
            <w:tcW w:w="720" w:type="dxa"/>
            <w:gridSpan w:val="2"/>
            <w:vMerge w:val="continue"/>
            <w:noWrap w:val="0"/>
            <w:vAlign w:val="center"/>
          </w:tcPr>
          <w:p w14:paraId="290B1132">
            <w:pPr>
              <w:jc w:val="center"/>
              <w:rPr>
                <w:rFonts w:hint="eastAsia" w:ascii="仿宋" w:hAnsi="仿宋" w:eastAsia="仿宋" w:cs="仿宋"/>
                <w:sz w:val="24"/>
              </w:rPr>
            </w:pPr>
          </w:p>
        </w:tc>
        <w:tc>
          <w:tcPr>
            <w:tcW w:w="4670" w:type="dxa"/>
            <w:noWrap w:val="0"/>
            <w:vAlign w:val="center"/>
          </w:tcPr>
          <w:p w14:paraId="59B06FA1">
            <w:pPr>
              <w:rPr>
                <w:rFonts w:hint="eastAsia" w:ascii="仿宋" w:hAnsi="仿宋" w:eastAsia="仿宋" w:cs="仿宋"/>
                <w:sz w:val="24"/>
              </w:rPr>
            </w:pPr>
            <w:r>
              <w:rPr>
                <w:rFonts w:hint="eastAsia" w:ascii="仿宋" w:hAnsi="仿宋" w:eastAsia="仿宋" w:cs="仿宋"/>
                <w:sz w:val="24"/>
              </w:rPr>
              <w:t>头盖骨多发性骨折</w:t>
            </w:r>
          </w:p>
        </w:tc>
        <w:tc>
          <w:tcPr>
            <w:tcW w:w="1610" w:type="dxa"/>
            <w:gridSpan w:val="3"/>
            <w:noWrap w:val="0"/>
            <w:vAlign w:val="center"/>
          </w:tcPr>
          <w:p w14:paraId="07684641">
            <w:pPr>
              <w:jc w:val="center"/>
              <w:rPr>
                <w:rFonts w:hint="eastAsia" w:ascii="仿宋" w:hAnsi="仿宋" w:eastAsia="仿宋" w:cs="仿宋"/>
                <w:sz w:val="24"/>
              </w:rPr>
            </w:pPr>
            <w:r>
              <w:rPr>
                <w:rFonts w:hint="eastAsia" w:ascii="仿宋" w:hAnsi="仿宋" w:eastAsia="仿宋" w:cs="仿宋"/>
                <w:sz w:val="24"/>
              </w:rPr>
              <w:t>10%</w:t>
            </w:r>
          </w:p>
        </w:tc>
        <w:tc>
          <w:tcPr>
            <w:tcW w:w="1748" w:type="dxa"/>
            <w:noWrap w:val="0"/>
            <w:vAlign w:val="center"/>
          </w:tcPr>
          <w:p w14:paraId="55594356">
            <w:pPr>
              <w:jc w:val="center"/>
              <w:rPr>
                <w:rFonts w:hint="eastAsia" w:ascii="仿宋" w:hAnsi="仿宋" w:eastAsia="仿宋" w:cs="仿宋"/>
                <w:sz w:val="24"/>
              </w:rPr>
            </w:pPr>
          </w:p>
        </w:tc>
      </w:tr>
      <w:tr w14:paraId="332DA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568" w:type="dxa"/>
            <w:vMerge w:val="continue"/>
            <w:noWrap w:val="0"/>
            <w:vAlign w:val="center"/>
          </w:tcPr>
          <w:p w14:paraId="7F268FBD">
            <w:pPr>
              <w:jc w:val="center"/>
              <w:rPr>
                <w:rFonts w:hint="eastAsia" w:ascii="仿宋" w:hAnsi="仿宋" w:eastAsia="仿宋" w:cs="仿宋"/>
                <w:sz w:val="24"/>
              </w:rPr>
            </w:pPr>
          </w:p>
        </w:tc>
        <w:tc>
          <w:tcPr>
            <w:tcW w:w="720" w:type="dxa"/>
            <w:gridSpan w:val="2"/>
            <w:vMerge w:val="continue"/>
            <w:noWrap w:val="0"/>
            <w:vAlign w:val="center"/>
          </w:tcPr>
          <w:p w14:paraId="3DC10454">
            <w:pPr>
              <w:jc w:val="center"/>
              <w:rPr>
                <w:rFonts w:hint="eastAsia" w:ascii="仿宋" w:hAnsi="仿宋" w:eastAsia="仿宋" w:cs="仿宋"/>
                <w:sz w:val="24"/>
              </w:rPr>
            </w:pPr>
          </w:p>
        </w:tc>
        <w:tc>
          <w:tcPr>
            <w:tcW w:w="4670" w:type="dxa"/>
            <w:noWrap w:val="0"/>
            <w:vAlign w:val="center"/>
          </w:tcPr>
          <w:p w14:paraId="15D0E0AA">
            <w:pPr>
              <w:rPr>
                <w:rFonts w:hint="eastAsia" w:ascii="仿宋" w:hAnsi="仿宋" w:eastAsia="仿宋" w:cs="仿宋"/>
                <w:sz w:val="24"/>
              </w:rPr>
            </w:pPr>
            <w:r>
              <w:rPr>
                <w:rFonts w:hint="eastAsia" w:ascii="仿宋" w:hAnsi="仿宋" w:eastAsia="仿宋" w:cs="仿宋"/>
                <w:sz w:val="24"/>
              </w:rPr>
              <w:t>颅骨内陷性骨折</w:t>
            </w:r>
          </w:p>
        </w:tc>
        <w:tc>
          <w:tcPr>
            <w:tcW w:w="1610" w:type="dxa"/>
            <w:gridSpan w:val="3"/>
            <w:noWrap w:val="0"/>
            <w:vAlign w:val="center"/>
          </w:tcPr>
          <w:p w14:paraId="2292211C">
            <w:pPr>
              <w:jc w:val="center"/>
              <w:rPr>
                <w:rFonts w:hint="eastAsia" w:ascii="仿宋" w:hAnsi="仿宋" w:eastAsia="仿宋" w:cs="仿宋"/>
                <w:sz w:val="24"/>
              </w:rPr>
            </w:pPr>
            <w:r>
              <w:rPr>
                <w:rFonts w:hint="eastAsia" w:ascii="仿宋" w:hAnsi="仿宋" w:eastAsia="仿宋" w:cs="仿宋"/>
                <w:sz w:val="24"/>
              </w:rPr>
              <w:t>20%</w:t>
            </w:r>
          </w:p>
        </w:tc>
        <w:tc>
          <w:tcPr>
            <w:tcW w:w="1748" w:type="dxa"/>
            <w:noWrap w:val="0"/>
            <w:vAlign w:val="center"/>
          </w:tcPr>
          <w:p w14:paraId="7EE8707A">
            <w:pPr>
              <w:jc w:val="center"/>
              <w:rPr>
                <w:rFonts w:hint="eastAsia" w:ascii="仿宋" w:hAnsi="仿宋" w:eastAsia="仿宋" w:cs="仿宋"/>
                <w:sz w:val="24"/>
              </w:rPr>
            </w:pPr>
          </w:p>
        </w:tc>
      </w:tr>
      <w:tr w14:paraId="1BAF9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568" w:type="dxa"/>
            <w:vMerge w:val="continue"/>
            <w:noWrap w:val="0"/>
            <w:vAlign w:val="center"/>
          </w:tcPr>
          <w:p w14:paraId="3735D1B6">
            <w:pPr>
              <w:jc w:val="center"/>
              <w:rPr>
                <w:rFonts w:hint="eastAsia" w:ascii="仿宋" w:hAnsi="仿宋" w:eastAsia="仿宋" w:cs="仿宋"/>
                <w:sz w:val="24"/>
              </w:rPr>
            </w:pPr>
          </w:p>
        </w:tc>
        <w:tc>
          <w:tcPr>
            <w:tcW w:w="720" w:type="dxa"/>
            <w:gridSpan w:val="2"/>
            <w:vMerge w:val="continue"/>
            <w:noWrap w:val="0"/>
            <w:vAlign w:val="center"/>
          </w:tcPr>
          <w:p w14:paraId="31CEC3A8">
            <w:pPr>
              <w:jc w:val="center"/>
              <w:rPr>
                <w:rFonts w:hint="eastAsia" w:ascii="仿宋" w:hAnsi="仿宋" w:eastAsia="仿宋" w:cs="仿宋"/>
                <w:sz w:val="24"/>
              </w:rPr>
            </w:pPr>
          </w:p>
        </w:tc>
        <w:tc>
          <w:tcPr>
            <w:tcW w:w="4670" w:type="dxa"/>
            <w:noWrap w:val="0"/>
            <w:vAlign w:val="center"/>
          </w:tcPr>
          <w:p w14:paraId="3D261932">
            <w:pPr>
              <w:rPr>
                <w:rFonts w:hint="eastAsia" w:ascii="仿宋" w:hAnsi="仿宋" w:eastAsia="仿宋" w:cs="仿宋"/>
                <w:sz w:val="24"/>
              </w:rPr>
            </w:pPr>
            <w:r>
              <w:rPr>
                <w:rFonts w:hint="eastAsia" w:ascii="仿宋" w:hAnsi="仿宋" w:eastAsia="仿宋" w:cs="仿宋"/>
                <w:sz w:val="24"/>
              </w:rPr>
              <w:t>颅底骨开放性骨折</w:t>
            </w:r>
          </w:p>
        </w:tc>
        <w:tc>
          <w:tcPr>
            <w:tcW w:w="1610" w:type="dxa"/>
            <w:gridSpan w:val="3"/>
            <w:noWrap w:val="0"/>
            <w:vAlign w:val="center"/>
          </w:tcPr>
          <w:p w14:paraId="0E4618C8">
            <w:pPr>
              <w:jc w:val="center"/>
              <w:rPr>
                <w:rFonts w:hint="eastAsia" w:ascii="仿宋" w:hAnsi="仿宋" w:eastAsia="仿宋" w:cs="仿宋"/>
                <w:sz w:val="24"/>
              </w:rPr>
            </w:pPr>
            <w:r>
              <w:rPr>
                <w:rFonts w:hint="eastAsia" w:ascii="仿宋" w:hAnsi="仿宋" w:eastAsia="仿宋" w:cs="仿宋"/>
                <w:sz w:val="24"/>
              </w:rPr>
              <w:t>30%</w:t>
            </w:r>
          </w:p>
        </w:tc>
        <w:tc>
          <w:tcPr>
            <w:tcW w:w="1748" w:type="dxa"/>
            <w:noWrap w:val="0"/>
            <w:vAlign w:val="center"/>
          </w:tcPr>
          <w:p w14:paraId="266E3278">
            <w:pPr>
              <w:jc w:val="center"/>
              <w:rPr>
                <w:rFonts w:hint="eastAsia" w:ascii="仿宋" w:hAnsi="仿宋" w:eastAsia="仿宋" w:cs="仿宋"/>
                <w:sz w:val="24"/>
              </w:rPr>
            </w:pPr>
          </w:p>
        </w:tc>
      </w:tr>
      <w:tr w14:paraId="3BF2A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568" w:type="dxa"/>
            <w:vMerge w:val="continue"/>
            <w:noWrap w:val="0"/>
            <w:vAlign w:val="center"/>
          </w:tcPr>
          <w:p w14:paraId="2ABF41F4">
            <w:pPr>
              <w:jc w:val="center"/>
              <w:rPr>
                <w:rFonts w:hint="eastAsia" w:ascii="仿宋" w:hAnsi="仿宋" w:eastAsia="仿宋" w:cs="仿宋"/>
                <w:sz w:val="24"/>
              </w:rPr>
            </w:pPr>
          </w:p>
        </w:tc>
        <w:tc>
          <w:tcPr>
            <w:tcW w:w="720" w:type="dxa"/>
            <w:gridSpan w:val="2"/>
            <w:vMerge w:val="continue"/>
            <w:noWrap w:val="0"/>
            <w:vAlign w:val="center"/>
          </w:tcPr>
          <w:p w14:paraId="66E969A3">
            <w:pPr>
              <w:jc w:val="center"/>
              <w:rPr>
                <w:rFonts w:hint="eastAsia" w:ascii="仿宋" w:hAnsi="仿宋" w:eastAsia="仿宋" w:cs="仿宋"/>
                <w:sz w:val="24"/>
              </w:rPr>
            </w:pPr>
          </w:p>
        </w:tc>
        <w:tc>
          <w:tcPr>
            <w:tcW w:w="4670" w:type="dxa"/>
            <w:noWrap w:val="0"/>
            <w:vAlign w:val="center"/>
          </w:tcPr>
          <w:p w14:paraId="16CD311A">
            <w:pPr>
              <w:rPr>
                <w:rFonts w:hint="eastAsia" w:ascii="仿宋" w:hAnsi="仿宋" w:eastAsia="仿宋" w:cs="仿宋"/>
                <w:sz w:val="24"/>
              </w:rPr>
            </w:pPr>
            <w:r>
              <w:rPr>
                <w:rFonts w:hint="eastAsia" w:ascii="仿宋" w:hAnsi="仿宋" w:eastAsia="仿宋" w:cs="仿宋"/>
                <w:sz w:val="24"/>
              </w:rPr>
              <w:t>重度脑挫裂伤，外伤性颅内出血</w:t>
            </w:r>
          </w:p>
        </w:tc>
        <w:tc>
          <w:tcPr>
            <w:tcW w:w="1610" w:type="dxa"/>
            <w:gridSpan w:val="3"/>
            <w:noWrap w:val="0"/>
            <w:vAlign w:val="center"/>
          </w:tcPr>
          <w:p w14:paraId="53E9C755">
            <w:pPr>
              <w:jc w:val="center"/>
              <w:rPr>
                <w:rFonts w:hint="eastAsia" w:ascii="仿宋" w:hAnsi="仿宋" w:eastAsia="仿宋" w:cs="仿宋"/>
                <w:sz w:val="24"/>
              </w:rPr>
            </w:pPr>
            <w:r>
              <w:rPr>
                <w:rFonts w:hint="eastAsia" w:ascii="仿宋" w:hAnsi="仿宋" w:eastAsia="仿宋" w:cs="仿宋"/>
                <w:sz w:val="24"/>
              </w:rPr>
              <w:t>20%</w:t>
            </w:r>
          </w:p>
        </w:tc>
        <w:tc>
          <w:tcPr>
            <w:tcW w:w="1748" w:type="dxa"/>
            <w:noWrap w:val="0"/>
            <w:vAlign w:val="center"/>
          </w:tcPr>
          <w:p w14:paraId="51CDE346">
            <w:pPr>
              <w:jc w:val="center"/>
              <w:rPr>
                <w:rFonts w:hint="eastAsia" w:ascii="仿宋" w:hAnsi="仿宋" w:eastAsia="仿宋" w:cs="仿宋"/>
                <w:sz w:val="24"/>
              </w:rPr>
            </w:pPr>
          </w:p>
        </w:tc>
      </w:tr>
      <w:tr w14:paraId="5F106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568" w:type="dxa"/>
            <w:vMerge w:val="continue"/>
            <w:noWrap w:val="0"/>
            <w:vAlign w:val="center"/>
          </w:tcPr>
          <w:p w14:paraId="56E7F980">
            <w:pPr>
              <w:jc w:val="center"/>
              <w:rPr>
                <w:rFonts w:hint="eastAsia" w:ascii="仿宋" w:hAnsi="仿宋" w:eastAsia="仿宋" w:cs="仿宋"/>
                <w:sz w:val="24"/>
              </w:rPr>
            </w:pPr>
          </w:p>
        </w:tc>
        <w:tc>
          <w:tcPr>
            <w:tcW w:w="720" w:type="dxa"/>
            <w:gridSpan w:val="2"/>
            <w:vMerge w:val="restart"/>
            <w:noWrap w:val="0"/>
            <w:vAlign w:val="center"/>
          </w:tcPr>
          <w:p w14:paraId="238E054D">
            <w:pPr>
              <w:jc w:val="center"/>
              <w:rPr>
                <w:rFonts w:hint="eastAsia" w:ascii="仿宋" w:hAnsi="仿宋" w:eastAsia="仿宋" w:cs="仿宋"/>
                <w:sz w:val="24"/>
              </w:rPr>
            </w:pPr>
            <w:r>
              <w:rPr>
                <w:rFonts w:hint="eastAsia" w:ascii="仿宋" w:hAnsi="仿宋" w:eastAsia="仿宋" w:cs="仿宋"/>
                <w:sz w:val="24"/>
              </w:rPr>
              <w:t>脑</w:t>
            </w:r>
          </w:p>
          <w:p w14:paraId="56FBB600">
            <w:pPr>
              <w:jc w:val="center"/>
              <w:rPr>
                <w:rFonts w:hint="eastAsia" w:ascii="仿宋" w:hAnsi="仿宋" w:eastAsia="仿宋" w:cs="仿宋"/>
                <w:sz w:val="24"/>
              </w:rPr>
            </w:pPr>
            <w:r>
              <w:rPr>
                <w:rFonts w:hint="eastAsia" w:ascii="仿宋" w:hAnsi="仿宋" w:eastAsia="仿宋" w:cs="仿宋"/>
                <w:sz w:val="24"/>
              </w:rPr>
              <w:t>残</w:t>
            </w:r>
          </w:p>
          <w:p w14:paraId="0FB68E0A">
            <w:pPr>
              <w:jc w:val="center"/>
              <w:rPr>
                <w:rFonts w:hint="eastAsia" w:ascii="仿宋" w:hAnsi="仿宋" w:eastAsia="仿宋" w:cs="仿宋"/>
                <w:sz w:val="24"/>
              </w:rPr>
            </w:pPr>
            <w:r>
              <w:rPr>
                <w:rFonts w:hint="eastAsia" w:ascii="仿宋" w:hAnsi="仿宋" w:eastAsia="仿宋" w:cs="仿宋"/>
                <w:sz w:val="24"/>
              </w:rPr>
              <w:t>疾</w:t>
            </w:r>
          </w:p>
        </w:tc>
        <w:tc>
          <w:tcPr>
            <w:tcW w:w="4670" w:type="dxa"/>
            <w:noWrap w:val="0"/>
            <w:vAlign w:val="center"/>
          </w:tcPr>
          <w:p w14:paraId="1A59D3D5">
            <w:pPr>
              <w:rPr>
                <w:rFonts w:hint="eastAsia" w:ascii="仿宋" w:hAnsi="仿宋" w:eastAsia="仿宋" w:cs="仿宋"/>
                <w:sz w:val="24"/>
              </w:rPr>
            </w:pPr>
            <w:r>
              <w:rPr>
                <w:rFonts w:hint="eastAsia" w:ascii="仿宋" w:hAnsi="仿宋" w:eastAsia="仿宋" w:cs="仿宋"/>
                <w:sz w:val="24"/>
              </w:rPr>
              <w:t>脑外伤后完全性瘫痪（植物人）</w:t>
            </w:r>
          </w:p>
        </w:tc>
        <w:tc>
          <w:tcPr>
            <w:tcW w:w="1610" w:type="dxa"/>
            <w:gridSpan w:val="3"/>
            <w:noWrap w:val="0"/>
            <w:vAlign w:val="center"/>
          </w:tcPr>
          <w:p w14:paraId="500E286D">
            <w:pPr>
              <w:jc w:val="center"/>
              <w:rPr>
                <w:rFonts w:hint="eastAsia" w:ascii="仿宋" w:hAnsi="仿宋" w:eastAsia="仿宋" w:cs="仿宋"/>
                <w:sz w:val="24"/>
              </w:rPr>
            </w:pPr>
            <w:r>
              <w:rPr>
                <w:rFonts w:hint="eastAsia" w:ascii="仿宋" w:hAnsi="仿宋" w:eastAsia="仿宋" w:cs="仿宋"/>
                <w:sz w:val="24"/>
              </w:rPr>
              <w:t>100%</w:t>
            </w:r>
          </w:p>
        </w:tc>
        <w:tc>
          <w:tcPr>
            <w:tcW w:w="1748" w:type="dxa"/>
            <w:noWrap w:val="0"/>
            <w:vAlign w:val="center"/>
          </w:tcPr>
          <w:p w14:paraId="35EA10C8">
            <w:pPr>
              <w:jc w:val="center"/>
              <w:rPr>
                <w:rFonts w:hint="eastAsia" w:ascii="仿宋" w:hAnsi="仿宋" w:eastAsia="仿宋" w:cs="仿宋"/>
                <w:sz w:val="24"/>
              </w:rPr>
            </w:pPr>
          </w:p>
        </w:tc>
      </w:tr>
      <w:tr w14:paraId="057CC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568" w:type="dxa"/>
            <w:vMerge w:val="continue"/>
            <w:noWrap w:val="0"/>
            <w:vAlign w:val="center"/>
          </w:tcPr>
          <w:p w14:paraId="7F97B192">
            <w:pPr>
              <w:jc w:val="center"/>
              <w:rPr>
                <w:rFonts w:hint="eastAsia" w:ascii="仿宋" w:hAnsi="仿宋" w:eastAsia="仿宋" w:cs="仿宋"/>
                <w:sz w:val="24"/>
              </w:rPr>
            </w:pPr>
          </w:p>
        </w:tc>
        <w:tc>
          <w:tcPr>
            <w:tcW w:w="720" w:type="dxa"/>
            <w:gridSpan w:val="2"/>
            <w:vMerge w:val="continue"/>
            <w:noWrap w:val="0"/>
            <w:vAlign w:val="center"/>
          </w:tcPr>
          <w:p w14:paraId="59F71024">
            <w:pPr>
              <w:jc w:val="center"/>
              <w:rPr>
                <w:rFonts w:hint="eastAsia" w:ascii="仿宋" w:hAnsi="仿宋" w:eastAsia="仿宋" w:cs="仿宋"/>
                <w:sz w:val="24"/>
              </w:rPr>
            </w:pPr>
          </w:p>
        </w:tc>
        <w:tc>
          <w:tcPr>
            <w:tcW w:w="4670" w:type="dxa"/>
            <w:noWrap w:val="0"/>
            <w:vAlign w:val="center"/>
          </w:tcPr>
          <w:p w14:paraId="2B2D570C">
            <w:pPr>
              <w:rPr>
                <w:rFonts w:hint="eastAsia" w:ascii="仿宋" w:hAnsi="仿宋" w:eastAsia="仿宋" w:cs="仿宋"/>
                <w:sz w:val="24"/>
              </w:rPr>
            </w:pPr>
            <w:r>
              <w:rPr>
                <w:rFonts w:hint="eastAsia" w:ascii="仿宋" w:hAnsi="仿宋" w:eastAsia="仿宋" w:cs="仿宋"/>
                <w:sz w:val="24"/>
              </w:rPr>
              <w:t>脑外伤性痴呆或完全失语</w:t>
            </w:r>
          </w:p>
        </w:tc>
        <w:tc>
          <w:tcPr>
            <w:tcW w:w="1610" w:type="dxa"/>
            <w:gridSpan w:val="3"/>
            <w:noWrap w:val="0"/>
            <w:vAlign w:val="center"/>
          </w:tcPr>
          <w:p w14:paraId="265102CE">
            <w:pPr>
              <w:jc w:val="center"/>
              <w:rPr>
                <w:rFonts w:hint="eastAsia" w:ascii="仿宋" w:hAnsi="仿宋" w:eastAsia="仿宋" w:cs="仿宋"/>
                <w:sz w:val="24"/>
              </w:rPr>
            </w:pPr>
            <w:r>
              <w:rPr>
                <w:rFonts w:hint="eastAsia" w:ascii="仿宋" w:hAnsi="仿宋" w:eastAsia="仿宋" w:cs="仿宋"/>
                <w:sz w:val="24"/>
              </w:rPr>
              <w:t>50%</w:t>
            </w:r>
          </w:p>
        </w:tc>
        <w:tc>
          <w:tcPr>
            <w:tcW w:w="1748" w:type="dxa"/>
            <w:noWrap w:val="0"/>
            <w:vAlign w:val="center"/>
          </w:tcPr>
          <w:p w14:paraId="41073AD8">
            <w:pPr>
              <w:jc w:val="center"/>
              <w:rPr>
                <w:rFonts w:hint="eastAsia" w:ascii="仿宋" w:hAnsi="仿宋" w:eastAsia="仿宋" w:cs="仿宋"/>
                <w:sz w:val="24"/>
              </w:rPr>
            </w:pPr>
          </w:p>
        </w:tc>
      </w:tr>
      <w:tr w14:paraId="676E1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568" w:type="dxa"/>
            <w:vMerge w:val="continue"/>
            <w:noWrap w:val="0"/>
            <w:vAlign w:val="center"/>
          </w:tcPr>
          <w:p w14:paraId="4341F322">
            <w:pPr>
              <w:jc w:val="center"/>
              <w:rPr>
                <w:rFonts w:hint="eastAsia" w:ascii="仿宋" w:hAnsi="仿宋" w:eastAsia="仿宋" w:cs="仿宋"/>
                <w:sz w:val="24"/>
              </w:rPr>
            </w:pPr>
          </w:p>
        </w:tc>
        <w:tc>
          <w:tcPr>
            <w:tcW w:w="720" w:type="dxa"/>
            <w:gridSpan w:val="2"/>
            <w:vMerge w:val="continue"/>
            <w:noWrap w:val="0"/>
            <w:vAlign w:val="center"/>
          </w:tcPr>
          <w:p w14:paraId="71154F98">
            <w:pPr>
              <w:jc w:val="center"/>
              <w:rPr>
                <w:rFonts w:hint="eastAsia" w:ascii="仿宋" w:hAnsi="仿宋" w:eastAsia="仿宋" w:cs="仿宋"/>
                <w:sz w:val="24"/>
              </w:rPr>
            </w:pPr>
          </w:p>
        </w:tc>
        <w:tc>
          <w:tcPr>
            <w:tcW w:w="4670" w:type="dxa"/>
            <w:noWrap w:val="0"/>
            <w:vAlign w:val="center"/>
          </w:tcPr>
          <w:p w14:paraId="2362FC97">
            <w:pPr>
              <w:rPr>
                <w:rFonts w:hint="eastAsia" w:ascii="仿宋" w:hAnsi="仿宋" w:eastAsia="仿宋" w:cs="仿宋"/>
                <w:sz w:val="24"/>
              </w:rPr>
            </w:pPr>
            <w:r>
              <w:rPr>
                <w:rFonts w:hint="eastAsia" w:ascii="仿宋" w:hAnsi="仿宋" w:eastAsia="仿宋" w:cs="仿宋"/>
                <w:sz w:val="24"/>
              </w:rPr>
              <w:t>脑外伤后失读或失写症</w:t>
            </w:r>
          </w:p>
        </w:tc>
        <w:tc>
          <w:tcPr>
            <w:tcW w:w="1610" w:type="dxa"/>
            <w:gridSpan w:val="3"/>
            <w:noWrap w:val="0"/>
            <w:vAlign w:val="center"/>
          </w:tcPr>
          <w:p w14:paraId="272C1033">
            <w:pPr>
              <w:jc w:val="center"/>
              <w:rPr>
                <w:rFonts w:hint="eastAsia" w:ascii="仿宋" w:hAnsi="仿宋" w:eastAsia="仿宋" w:cs="仿宋"/>
                <w:sz w:val="24"/>
              </w:rPr>
            </w:pPr>
            <w:r>
              <w:rPr>
                <w:rFonts w:hint="eastAsia" w:ascii="仿宋" w:hAnsi="仿宋" w:eastAsia="仿宋" w:cs="仿宋"/>
                <w:sz w:val="24"/>
              </w:rPr>
              <w:t>30%</w:t>
            </w:r>
          </w:p>
        </w:tc>
        <w:tc>
          <w:tcPr>
            <w:tcW w:w="1748" w:type="dxa"/>
            <w:noWrap w:val="0"/>
            <w:vAlign w:val="center"/>
          </w:tcPr>
          <w:p w14:paraId="4029C23A">
            <w:pPr>
              <w:jc w:val="center"/>
              <w:rPr>
                <w:rFonts w:hint="eastAsia" w:ascii="仿宋" w:hAnsi="仿宋" w:eastAsia="仿宋" w:cs="仿宋"/>
                <w:sz w:val="24"/>
              </w:rPr>
            </w:pPr>
          </w:p>
        </w:tc>
      </w:tr>
      <w:tr w14:paraId="2D523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vMerge w:val="restart"/>
            <w:noWrap w:val="0"/>
            <w:vAlign w:val="center"/>
          </w:tcPr>
          <w:p w14:paraId="1F89FAB4">
            <w:pPr>
              <w:jc w:val="center"/>
              <w:rPr>
                <w:rFonts w:hint="eastAsia" w:ascii="仿宋" w:hAnsi="仿宋" w:eastAsia="仿宋" w:cs="仿宋"/>
                <w:sz w:val="24"/>
              </w:rPr>
            </w:pPr>
            <w:r>
              <w:rPr>
                <w:rFonts w:hint="eastAsia" w:ascii="仿宋" w:hAnsi="仿宋" w:eastAsia="仿宋" w:cs="仿宋"/>
                <w:sz w:val="24"/>
              </w:rPr>
              <w:t>内脏</w:t>
            </w:r>
          </w:p>
          <w:p w14:paraId="394EA48F">
            <w:pPr>
              <w:jc w:val="center"/>
              <w:rPr>
                <w:rFonts w:hint="eastAsia" w:ascii="仿宋" w:hAnsi="仿宋" w:eastAsia="仿宋" w:cs="仿宋"/>
                <w:sz w:val="24"/>
              </w:rPr>
            </w:pPr>
            <w:r>
              <w:rPr>
                <w:rFonts w:hint="eastAsia" w:ascii="仿宋" w:hAnsi="仿宋" w:eastAsia="仿宋" w:cs="仿宋"/>
                <w:sz w:val="24"/>
              </w:rPr>
              <w:t>器官</w:t>
            </w:r>
          </w:p>
        </w:tc>
        <w:tc>
          <w:tcPr>
            <w:tcW w:w="4670" w:type="dxa"/>
            <w:noWrap w:val="0"/>
            <w:vAlign w:val="center"/>
          </w:tcPr>
          <w:p w14:paraId="71281B5F">
            <w:pPr>
              <w:rPr>
                <w:rFonts w:hint="eastAsia" w:ascii="仿宋" w:hAnsi="仿宋" w:eastAsia="仿宋" w:cs="仿宋"/>
                <w:sz w:val="24"/>
              </w:rPr>
            </w:pPr>
            <w:r>
              <w:rPr>
                <w:rFonts w:hint="eastAsia" w:ascii="仿宋" w:hAnsi="仿宋" w:eastAsia="仿宋" w:cs="仿宋"/>
                <w:sz w:val="24"/>
              </w:rPr>
              <w:t>肝、 脾、肠等内脏器官外伤性碎裂</w:t>
            </w:r>
          </w:p>
        </w:tc>
        <w:tc>
          <w:tcPr>
            <w:tcW w:w="1610" w:type="dxa"/>
            <w:gridSpan w:val="3"/>
            <w:noWrap w:val="0"/>
            <w:vAlign w:val="center"/>
          </w:tcPr>
          <w:p w14:paraId="1D90F052">
            <w:pPr>
              <w:jc w:val="center"/>
              <w:rPr>
                <w:rFonts w:hint="eastAsia" w:ascii="仿宋" w:hAnsi="仿宋" w:eastAsia="仿宋" w:cs="仿宋"/>
                <w:sz w:val="24"/>
              </w:rPr>
            </w:pPr>
            <w:r>
              <w:rPr>
                <w:rFonts w:hint="eastAsia" w:ascii="仿宋" w:hAnsi="仿宋" w:eastAsia="仿宋" w:cs="仿宋"/>
                <w:sz w:val="24"/>
              </w:rPr>
              <w:t>10%</w:t>
            </w:r>
          </w:p>
        </w:tc>
        <w:tc>
          <w:tcPr>
            <w:tcW w:w="1748" w:type="dxa"/>
            <w:noWrap w:val="0"/>
            <w:vAlign w:val="center"/>
          </w:tcPr>
          <w:p w14:paraId="1410AC24">
            <w:pPr>
              <w:jc w:val="center"/>
              <w:rPr>
                <w:rFonts w:hint="eastAsia" w:ascii="仿宋" w:hAnsi="仿宋" w:eastAsia="仿宋" w:cs="仿宋"/>
                <w:sz w:val="24"/>
              </w:rPr>
            </w:pPr>
          </w:p>
        </w:tc>
      </w:tr>
      <w:tr w14:paraId="62155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vMerge w:val="continue"/>
            <w:noWrap w:val="0"/>
            <w:vAlign w:val="center"/>
          </w:tcPr>
          <w:p w14:paraId="66E9E561">
            <w:pPr>
              <w:jc w:val="center"/>
              <w:rPr>
                <w:rFonts w:hint="eastAsia" w:ascii="仿宋" w:hAnsi="仿宋" w:eastAsia="仿宋" w:cs="仿宋"/>
                <w:sz w:val="24"/>
              </w:rPr>
            </w:pPr>
          </w:p>
        </w:tc>
        <w:tc>
          <w:tcPr>
            <w:tcW w:w="4670" w:type="dxa"/>
            <w:noWrap w:val="0"/>
            <w:vAlign w:val="center"/>
          </w:tcPr>
          <w:p w14:paraId="107A836A">
            <w:pPr>
              <w:rPr>
                <w:rFonts w:hint="eastAsia" w:ascii="仿宋" w:hAnsi="仿宋" w:eastAsia="仿宋" w:cs="仿宋"/>
                <w:sz w:val="24"/>
              </w:rPr>
            </w:pPr>
            <w:r>
              <w:rPr>
                <w:rFonts w:hint="eastAsia" w:ascii="仿宋" w:hAnsi="仿宋" w:eastAsia="仿宋" w:cs="仿宋"/>
                <w:sz w:val="24"/>
              </w:rPr>
              <w:t>肝、 脾、肠等内脏器官外伤性切除</w:t>
            </w:r>
          </w:p>
        </w:tc>
        <w:tc>
          <w:tcPr>
            <w:tcW w:w="1610" w:type="dxa"/>
            <w:gridSpan w:val="3"/>
            <w:noWrap w:val="0"/>
            <w:vAlign w:val="center"/>
          </w:tcPr>
          <w:p w14:paraId="31264E85">
            <w:pPr>
              <w:jc w:val="center"/>
              <w:rPr>
                <w:rFonts w:hint="eastAsia" w:ascii="仿宋" w:hAnsi="仿宋" w:eastAsia="仿宋" w:cs="仿宋"/>
                <w:sz w:val="24"/>
              </w:rPr>
            </w:pPr>
            <w:r>
              <w:rPr>
                <w:rFonts w:hint="eastAsia" w:ascii="仿宋" w:hAnsi="仿宋" w:eastAsia="仿宋" w:cs="仿宋"/>
                <w:sz w:val="24"/>
              </w:rPr>
              <w:t>25%</w:t>
            </w:r>
          </w:p>
        </w:tc>
        <w:tc>
          <w:tcPr>
            <w:tcW w:w="1748" w:type="dxa"/>
            <w:noWrap w:val="0"/>
            <w:vAlign w:val="center"/>
          </w:tcPr>
          <w:p w14:paraId="460D0F88">
            <w:pPr>
              <w:jc w:val="center"/>
              <w:rPr>
                <w:rFonts w:hint="eastAsia" w:ascii="仿宋" w:hAnsi="仿宋" w:eastAsia="仿宋" w:cs="仿宋"/>
                <w:sz w:val="24"/>
              </w:rPr>
            </w:pPr>
          </w:p>
        </w:tc>
      </w:tr>
    </w:tbl>
    <w:p w14:paraId="060FB0AB">
      <w:pPr>
        <w:widowControl/>
        <w:spacing w:line="580" w:lineRule="exact"/>
        <w:jc w:val="center"/>
        <w:rPr>
          <w:rFonts w:hint="eastAsia" w:ascii="仿宋" w:hAnsi="仿宋" w:eastAsia="仿宋" w:cs="仿宋"/>
          <w:b/>
          <w:sz w:val="36"/>
        </w:rPr>
      </w:pPr>
      <w:r>
        <w:rPr>
          <w:rFonts w:hint="eastAsia" w:ascii="仿宋" w:hAnsi="仿宋" w:eastAsia="仿宋" w:cs="仿宋"/>
          <w:sz w:val="30"/>
          <w:szCs w:val="30"/>
        </w:rPr>
        <w:br w:type="page"/>
      </w:r>
    </w:p>
    <w:p w14:paraId="2CFCCFD2">
      <w:pPr>
        <w:keepNext w:val="0"/>
        <w:keepLines w:val="0"/>
        <w:pageBreakBefore w:val="0"/>
        <w:widowControl w:val="0"/>
        <w:spacing w:line="360" w:lineRule="auto"/>
        <w:ind w:firstLine="422"/>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cstheme="minorEastAsia"/>
          <w:b/>
          <w:bCs/>
          <w:color w:val="333333"/>
          <w:kern w:val="0"/>
          <w:sz w:val="24"/>
          <w:szCs w:val="24"/>
          <w:shd w:val="clear" w:color="auto" w:fill="FFFFFF"/>
          <w:lang w:val="en-US" w:eastAsia="zh-CN" w:bidi="ar-SA"/>
        </w:rPr>
        <w:t>（三）</w:t>
      </w:r>
      <w:r>
        <w:rPr>
          <w:rFonts w:hint="eastAsia" w:asciiTheme="minorEastAsia" w:hAnsiTheme="minorEastAsia" w:eastAsiaTheme="minorEastAsia" w:cstheme="minorEastAsia"/>
          <w:b/>
          <w:bCs/>
          <w:color w:val="333333"/>
          <w:kern w:val="0"/>
          <w:sz w:val="24"/>
          <w:szCs w:val="24"/>
          <w:shd w:val="clear" w:color="auto" w:fill="FFFFFF"/>
          <w:lang w:val="en-US" w:eastAsia="zh-CN" w:bidi="ar-SA"/>
        </w:rPr>
        <w:t>服务要求：</w:t>
      </w:r>
    </w:p>
    <w:p w14:paraId="3F789E90">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1、保险范围：在我省渔业船舶(企业)登记机关登记的，从事渔业生产或为渔业生产服务的船舶或企业的所有人、经营人及承租人。</w:t>
      </w:r>
    </w:p>
    <w:p w14:paraId="18058749">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2、保险服务：</w:t>
      </w:r>
    </w:p>
    <w:p w14:paraId="1A38F98D">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2.1对本采购项目须设立专项小组。</w:t>
      </w:r>
    </w:p>
    <w:p w14:paraId="334CF0F4">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 xml:space="preserve">2.2根据相应文件内容，配合投保人完成核保与出单事宜，并在收到保费的次日生效保单并在5个工作日内将保单正本和保费发票派专人送达投保人。 </w:t>
      </w:r>
    </w:p>
    <w:p w14:paraId="0DAD650D">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3、承保服务：</w:t>
      </w:r>
    </w:p>
    <w:p w14:paraId="41358D54">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3.1指定专门的客服人员，接受各方咨询，解释相关保险内容。</w:t>
      </w:r>
    </w:p>
    <w:p w14:paraId="4C1D6EB1">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3.2定期走访采购方，听取相关意见和建议，不断提高服务水平，为采购方分忧。</w:t>
      </w:r>
    </w:p>
    <w:p w14:paraId="6300BD6E">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3.3每季度按时向相关部门汇报上季度的理赔情况。</w:t>
      </w:r>
    </w:p>
    <w:p w14:paraId="1C41CBE5">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4、理赔服务</w:t>
      </w:r>
    </w:p>
    <w:p w14:paraId="0FEA6619">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4.1保险服务基础标准：</w:t>
      </w:r>
    </w:p>
    <w:p w14:paraId="4D6BF3AB">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4.1.1统一实行24小时接报案；</w:t>
      </w:r>
    </w:p>
    <w:p w14:paraId="27BD45ED">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4.1.2统一实行24小时查勘；</w:t>
      </w:r>
    </w:p>
    <w:p w14:paraId="77C2469E">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4.1.3统一实行24小时救援；</w:t>
      </w:r>
    </w:p>
    <w:p w14:paraId="41B66FAC">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4.1.4统一实行8小时全年无休理赔工作；</w:t>
      </w:r>
    </w:p>
    <w:p w14:paraId="67904190">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4.1.5统一实行24小时投诉服务；</w:t>
      </w:r>
    </w:p>
    <w:p w14:paraId="73FAFC39">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 xml:space="preserve">4.1.6设立24小时保险服务专线电话，电脑录音系统和查勘调度系统保证畅通无误，及时准确。全年365天随时接受被保险人的出险报案，并立即通知保险公司本项目客户服务专员。               </w:t>
      </w:r>
    </w:p>
    <w:p w14:paraId="2B9F444B">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4.2设立专人专门窗口负责受理赔款案件，实行一站式服务，确保理赔、财务、信息技术等环节的高效畅通。</w:t>
      </w:r>
    </w:p>
    <w:p w14:paraId="1307F911">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4.3接到报案后应详细的告知被保险人注意事项，承保范围，保障内容及理赔时需要准备的材料等，不得欺骗、误导被保险人；</w:t>
      </w:r>
    </w:p>
    <w:p w14:paraId="6D6ACB9F">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4.4配合被保险人了解、熟悉理赔流程，指定专人上门收取索赔单证，并在约定的时间内上门收取，不得以任何理由拒绝上门服务。</w:t>
      </w:r>
    </w:p>
    <w:p w14:paraId="174A79B7">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4.5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p>
    <w:p w14:paraId="642B37F3">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4.6在收到理赔材料后，简化理赔手续，应在规定时间内告知被保险人赔偿金额，除外金额或不予赔偿的理由，超过规定时间的，视为同意赔偿。</w:t>
      </w:r>
    </w:p>
    <w:p w14:paraId="6FFBE1AC">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4.7接到被保险人报案后，对于属于保险责任的事故，同意按照以下约定及时确定赔偿金额：</w:t>
      </w:r>
    </w:p>
    <w:p w14:paraId="285AEDE0">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4.8对于不属于保险责任的，同意在接到被保险人赔偿请求后5个工作日内向其发出《拒赔通知书》。</w:t>
      </w:r>
    </w:p>
    <w:p w14:paraId="6894D8AD">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 xml:space="preserve">4.9对于不属于保险责任的，保险公司在接到被保险人赔偿请求后没有按规定时间向其发出《拒赔通知书》，则按保险责任处理。 </w:t>
      </w:r>
    </w:p>
    <w:p w14:paraId="4B87EC8E">
      <w:pPr>
        <w:keepNext w:val="0"/>
        <w:keepLines w:val="0"/>
        <w:pageBreakBefore w:val="0"/>
        <w:widowControl w:val="0"/>
        <w:spacing w:line="360" w:lineRule="auto"/>
        <w:ind w:firstLine="422"/>
        <w:jc w:val="both"/>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cstheme="minorEastAsia"/>
          <w:b/>
          <w:bCs/>
          <w:color w:val="333333"/>
          <w:kern w:val="0"/>
          <w:sz w:val="24"/>
          <w:szCs w:val="24"/>
          <w:shd w:val="clear" w:color="auto" w:fill="FFFFFF"/>
          <w:lang w:val="en-US" w:eastAsia="zh-CN" w:bidi="ar-SA"/>
        </w:rPr>
        <w:t>（四）</w:t>
      </w:r>
      <w:r>
        <w:rPr>
          <w:rFonts w:hint="eastAsia" w:asciiTheme="minorEastAsia" w:hAnsiTheme="minorEastAsia" w:eastAsiaTheme="minorEastAsia" w:cstheme="minorEastAsia"/>
          <w:b/>
          <w:bCs/>
          <w:color w:val="333333"/>
          <w:kern w:val="0"/>
          <w:sz w:val="24"/>
          <w:szCs w:val="24"/>
          <w:shd w:val="clear" w:color="auto" w:fill="FFFFFF"/>
          <w:lang w:val="en-US" w:eastAsia="zh-CN" w:bidi="ar-SA"/>
        </w:rPr>
        <w:t>其他要求</w:t>
      </w:r>
    </w:p>
    <w:p w14:paraId="4AF60EED">
      <w:pPr>
        <w:keepNext w:val="0"/>
        <w:keepLines w:val="0"/>
        <w:pageBreakBefore w:val="0"/>
        <w:widowControl w:val="0"/>
        <w:numPr>
          <w:ilvl w:val="0"/>
          <w:numId w:val="0"/>
        </w:numPr>
        <w:tabs>
          <w:tab w:val="left" w:pos="567"/>
        </w:tabs>
        <w:spacing w:before="0" w:beforeAutospacing="0" w:afterAutospacing="0" w:line="360" w:lineRule="auto"/>
        <w:ind w:firstLine="420"/>
        <w:jc w:val="both"/>
        <w:outlineLvl w:val="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（一）项目验收：</w:t>
      </w:r>
    </w:p>
    <w:p w14:paraId="55F9F859">
      <w:pPr>
        <w:keepNext w:val="0"/>
        <w:keepLines w:val="0"/>
        <w:pageBreakBefore w:val="0"/>
        <w:widowControl w:val="0"/>
        <w:numPr>
          <w:ilvl w:val="0"/>
          <w:numId w:val="0"/>
        </w:numPr>
        <w:tabs>
          <w:tab w:val="left" w:pos="567"/>
        </w:tabs>
        <w:spacing w:before="0" w:beforeAutospacing="0" w:afterAutospacing="0" w:line="360" w:lineRule="auto"/>
        <w:ind w:firstLine="420"/>
        <w:jc w:val="both"/>
        <w:outlineLvl w:val="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1、验收组织方式：本项目由采购人组织进行验收。</w:t>
      </w:r>
    </w:p>
    <w:p w14:paraId="7299AAC8">
      <w:pPr>
        <w:keepNext w:val="0"/>
        <w:keepLines w:val="0"/>
        <w:pageBreakBefore w:val="0"/>
        <w:widowControl w:val="0"/>
        <w:numPr>
          <w:ilvl w:val="0"/>
          <w:numId w:val="0"/>
        </w:numPr>
        <w:tabs>
          <w:tab w:val="left" w:pos="567"/>
        </w:tabs>
        <w:spacing w:before="0" w:beforeAutospacing="0" w:afterAutospacing="0" w:line="360" w:lineRule="auto"/>
        <w:ind w:firstLine="420"/>
        <w:jc w:val="both"/>
        <w:outlineLvl w:val="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2、履约验收标准：为保证本项目实施的科学性、规范性和准确性，履约验收必须严格遵照项目需求、国家有关法律、法规、规章制度以及国家和行业颁布的相关技术标准和规范。</w:t>
      </w:r>
    </w:p>
    <w:p w14:paraId="0F21A907">
      <w:pPr>
        <w:pStyle w:val="13"/>
        <w:spacing w:beforeAutospacing="0" w:afterAutospacing="0" w:line="360" w:lineRule="auto"/>
        <w:ind w:firstLine="480"/>
        <w:jc w:val="both"/>
        <w:rPr>
          <w:rFonts w:hint="eastAsia"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lang w:val="en-US" w:eastAsia="zh-CN"/>
        </w:rPr>
        <w:t>三</w:t>
      </w:r>
      <w:r>
        <w:rPr>
          <w:rFonts w:hint="eastAsia" w:asciiTheme="minorEastAsia" w:hAnsiTheme="minorEastAsia" w:cstheme="minorEastAsia"/>
          <w:b/>
          <w:bCs/>
          <w:color w:val="333333"/>
          <w:shd w:val="clear" w:color="auto" w:fill="FFFFFF"/>
        </w:rPr>
        <w:t>、合同履行期限及地点：</w:t>
      </w:r>
    </w:p>
    <w:p w14:paraId="0881CEAA">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eastAsia="zh-CN"/>
        </w:rPr>
      </w:pPr>
      <w:r>
        <w:rPr>
          <w:rFonts w:hint="eastAsia" w:asciiTheme="minorEastAsia" w:hAnsiTheme="minorEastAsia" w:cstheme="minorEastAsia"/>
          <w:color w:val="333333"/>
          <w:shd w:val="clear" w:color="auto" w:fill="FFFFFF"/>
        </w:rPr>
        <w:t>合同履行期限：</w:t>
      </w:r>
      <w:r>
        <w:rPr>
          <w:rFonts w:hint="eastAsia" w:asciiTheme="minorEastAsia" w:hAnsiTheme="minorEastAsia" w:cstheme="minorEastAsia"/>
          <w:color w:val="333333"/>
          <w:shd w:val="clear" w:color="auto" w:fill="FFFFFF"/>
          <w:lang w:eastAsia="zh-CN"/>
        </w:rPr>
        <w:t>中标单位与采购方签订合同后，</w:t>
      </w:r>
      <w:r>
        <w:rPr>
          <w:rFonts w:hint="eastAsia" w:asciiTheme="minorEastAsia" w:hAnsiTheme="minorEastAsia" w:cstheme="minorEastAsia"/>
          <w:color w:val="333333"/>
          <w:shd w:val="clear" w:color="auto" w:fill="FFFFFF"/>
          <w:lang w:val="en-US" w:eastAsia="zh-CN"/>
        </w:rPr>
        <w:t>履约期限为</w:t>
      </w:r>
      <w:r>
        <w:rPr>
          <w:rFonts w:hint="eastAsia" w:asciiTheme="minorEastAsia" w:hAnsiTheme="minorEastAsia" w:cstheme="minorEastAsia"/>
          <w:color w:val="333333"/>
          <w:shd w:val="clear" w:color="auto" w:fill="FFFFFF"/>
          <w:lang w:eastAsia="zh-CN"/>
        </w:rPr>
        <w:t>一年。</w:t>
      </w:r>
    </w:p>
    <w:p w14:paraId="6D38A04A">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地点：采购方指定地点。</w:t>
      </w:r>
    </w:p>
    <w:p w14:paraId="498E3EF3">
      <w:pPr>
        <w:pStyle w:val="13"/>
        <w:spacing w:beforeAutospacing="0" w:afterAutospacing="0" w:line="360" w:lineRule="auto"/>
        <w:ind w:firstLine="480"/>
        <w:jc w:val="both"/>
        <w:rPr>
          <w:rFonts w:hint="eastAsia"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lang w:val="en-US" w:eastAsia="zh-CN"/>
        </w:rPr>
        <w:t>四</w:t>
      </w:r>
      <w:r>
        <w:rPr>
          <w:rFonts w:hint="eastAsia" w:asciiTheme="minorEastAsia" w:hAnsiTheme="minorEastAsia" w:cstheme="minorEastAsia"/>
          <w:b/>
          <w:bCs/>
          <w:color w:val="333333"/>
          <w:shd w:val="clear" w:color="auto" w:fill="FFFFFF"/>
        </w:rPr>
        <w:t xml:space="preserve">、付款方式: </w:t>
      </w:r>
    </w:p>
    <w:p w14:paraId="783FD33A">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p>
    <w:p w14:paraId="0E3F0430">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rPr>
        <w:t>2.</w:t>
      </w:r>
      <w:r>
        <w:rPr>
          <w:rFonts w:hint="eastAsia" w:asciiTheme="minorEastAsia" w:hAnsiTheme="minorEastAsia" w:cstheme="minorEastAsia"/>
          <w:color w:val="333333"/>
          <w:shd w:val="clear" w:color="auto" w:fill="FFFFFF"/>
          <w:lang w:eastAsia="zh-CN"/>
        </w:rPr>
        <w:t>具体</w:t>
      </w:r>
      <w:r>
        <w:rPr>
          <w:rFonts w:hint="eastAsia" w:asciiTheme="minorEastAsia" w:hAnsiTheme="minorEastAsia" w:cstheme="minorEastAsia"/>
          <w:color w:val="333333"/>
          <w:shd w:val="clear" w:color="auto" w:fill="FFFFFF"/>
          <w:lang w:val="en-US" w:eastAsia="zh-CN"/>
        </w:rPr>
        <w:t>支付</w:t>
      </w:r>
      <w:r>
        <w:rPr>
          <w:rFonts w:hint="eastAsia" w:asciiTheme="minorEastAsia" w:hAnsiTheme="minorEastAsia" w:cstheme="minorEastAsia"/>
          <w:color w:val="333333"/>
          <w:shd w:val="clear" w:color="auto" w:fill="FFFFFF"/>
          <w:lang w:eastAsia="zh-CN"/>
        </w:rPr>
        <w:t>金额根据实际投保人数按实结算。</w:t>
      </w:r>
    </w:p>
    <w:p w14:paraId="70E00BBF">
      <w:pPr>
        <w:pStyle w:val="13"/>
        <w:spacing w:beforeAutospacing="0" w:afterAutospacing="0" w:line="360" w:lineRule="auto"/>
        <w:ind w:firstLine="480"/>
        <w:jc w:val="both"/>
        <w:rPr>
          <w:rFonts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rPr>
        <w:t>采购标的对应的中小企业划分标准所属行业一览表</w:t>
      </w:r>
    </w:p>
    <w:tbl>
      <w:tblPr>
        <w:tblStyle w:val="16"/>
        <w:tblW w:w="7959" w:type="dxa"/>
        <w:jc w:val="center"/>
        <w:tblCellSpacing w:w="0" w:type="dxa"/>
        <w:tblLayout w:type="fixed"/>
        <w:tblCellMar>
          <w:top w:w="0" w:type="dxa"/>
          <w:left w:w="108" w:type="dxa"/>
          <w:bottom w:w="0" w:type="dxa"/>
          <w:right w:w="108" w:type="dxa"/>
        </w:tblCellMar>
      </w:tblPr>
      <w:tblGrid>
        <w:gridCol w:w="855"/>
        <w:gridCol w:w="4252"/>
        <w:gridCol w:w="2852"/>
      </w:tblGrid>
      <w:tr w14:paraId="64869FEA">
        <w:tblPrEx>
          <w:tblCellMar>
            <w:top w:w="0" w:type="dxa"/>
            <w:left w:w="108" w:type="dxa"/>
            <w:bottom w:w="0" w:type="dxa"/>
            <w:right w:w="108" w:type="dxa"/>
          </w:tblCellMar>
        </w:tblPrEx>
        <w:trPr>
          <w:tblCellSpacing w:w="0" w:type="dxa"/>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DE421">
            <w:pPr>
              <w:pStyle w:val="13"/>
              <w:spacing w:beforeAutospacing="0" w:afterAutospacing="0" w:line="360" w:lineRule="auto"/>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序号</w:t>
            </w:r>
          </w:p>
        </w:tc>
        <w:tc>
          <w:tcPr>
            <w:tcW w:w="4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63B0D">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采购标的</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C33B1">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对应中小企业划分标准所属行业</w:t>
            </w:r>
          </w:p>
        </w:tc>
      </w:tr>
      <w:tr w14:paraId="2EAF863C">
        <w:tblPrEx>
          <w:tblCellMar>
            <w:top w:w="0" w:type="dxa"/>
            <w:left w:w="108" w:type="dxa"/>
            <w:bottom w:w="0" w:type="dxa"/>
            <w:right w:w="108" w:type="dxa"/>
          </w:tblCellMar>
        </w:tblPrEx>
        <w:trPr>
          <w:trHeight w:val="291" w:hRule="atLeast"/>
          <w:tblCellSpacing w:w="0" w:type="dxa"/>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68764">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w:t>
            </w:r>
          </w:p>
        </w:tc>
        <w:tc>
          <w:tcPr>
            <w:tcW w:w="4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92CBE">
            <w:pPr>
              <w:pStyle w:val="13"/>
              <w:spacing w:beforeAutospacing="0" w:afterAutospacing="0" w:line="360" w:lineRule="auto"/>
              <w:jc w:val="both"/>
              <w:rPr>
                <w:rFonts w:hint="eastAsia" w:asciiTheme="minorEastAsia" w:hAnsiTheme="minorEastAsia" w:eastAsiaTheme="minorEastAsia" w:cstheme="minorEastAsia"/>
                <w:color w:val="333333"/>
                <w:shd w:val="clear" w:color="auto" w:fill="FFFFFF"/>
                <w:lang w:eastAsia="zh-CN"/>
              </w:rPr>
            </w:pPr>
            <w:r>
              <w:rPr>
                <w:rFonts w:hint="eastAsia" w:asciiTheme="minorEastAsia" w:hAnsiTheme="minorEastAsia" w:cstheme="minorEastAsia"/>
                <w:color w:val="333333"/>
                <w:shd w:val="clear" w:color="auto" w:fill="FFFFFF"/>
                <w:lang w:eastAsia="zh-CN"/>
              </w:rPr>
              <w:t>射阳县农业综合行政执法大队射阳县海洋渔业船员意外伤害险采购项目</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CB807">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其他未列明行业 </w:t>
            </w:r>
          </w:p>
        </w:tc>
      </w:tr>
      <w:tr w14:paraId="65592494">
        <w:tblPrEx>
          <w:tblCellMar>
            <w:top w:w="0" w:type="dxa"/>
            <w:left w:w="108" w:type="dxa"/>
            <w:bottom w:w="0" w:type="dxa"/>
            <w:right w:w="108" w:type="dxa"/>
          </w:tblCellMar>
        </w:tblPrEx>
        <w:trPr>
          <w:trHeight w:val="235" w:hRule="atLeast"/>
          <w:tblCellSpacing w:w="0" w:type="dxa"/>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115A">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2</w:t>
            </w:r>
          </w:p>
        </w:tc>
        <w:tc>
          <w:tcPr>
            <w:tcW w:w="4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F548C">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1D87D">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w:t>
            </w:r>
          </w:p>
        </w:tc>
      </w:tr>
      <w:tr w14:paraId="264F6E87">
        <w:tblPrEx>
          <w:tblCellMar>
            <w:top w:w="0" w:type="dxa"/>
            <w:left w:w="108" w:type="dxa"/>
            <w:bottom w:w="0" w:type="dxa"/>
            <w:right w:w="108" w:type="dxa"/>
          </w:tblCellMar>
        </w:tblPrEx>
        <w:trPr>
          <w:trHeight w:val="222" w:hRule="atLeast"/>
          <w:tblCellSpacing w:w="0" w:type="dxa"/>
          <w:jc w:val="center"/>
        </w:trPr>
        <w:tc>
          <w:tcPr>
            <w:tcW w:w="8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A64EE">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3</w:t>
            </w:r>
          </w:p>
        </w:tc>
        <w:tc>
          <w:tcPr>
            <w:tcW w:w="42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A2045">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w:t>
            </w:r>
          </w:p>
        </w:tc>
        <w:tc>
          <w:tcPr>
            <w:tcW w:w="2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C6CA7">
            <w:pPr>
              <w:pStyle w:val="13"/>
              <w:spacing w:beforeAutospacing="0" w:afterAutospacing="0" w:line="360" w:lineRule="auto"/>
              <w:ind w:firstLine="480"/>
              <w:jc w:val="both"/>
              <w:rPr>
                <w:rFonts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w:t>
            </w:r>
          </w:p>
        </w:tc>
      </w:tr>
    </w:tbl>
    <w:p w14:paraId="2B54AD90">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备注：1.采购人须填报上表，所属行业按《工业和信息化部、国家统计局、国家发展和改革委员会、财政部关于印发中小企业划型标准规定的通知》(工信部联企业[2011]300号)规定填写。2.项目经办人须对填报内容是否准确进行核查。）</w:t>
      </w:r>
    </w:p>
    <w:p w14:paraId="2BBF0F60">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7108C5B1">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3A911AA9">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4687C659">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19009537">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60C9589A">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5D9A42E3">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03190A0C">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0A7E09D5">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5EA218F4">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28B570B5">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4ECAB251">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084EF07B">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4A595444">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2B01D52C">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32C4C3E1">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0A52C4E6">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43065DC7">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0AE1A4C8">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2C7A2577">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 </w:t>
      </w:r>
    </w:p>
    <w:p w14:paraId="2EC90E62">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p>
    <w:p w14:paraId="12E2DD1D">
      <w:pPr>
        <w:pStyle w:val="13"/>
        <w:spacing w:beforeAutospacing="0" w:afterAutospacing="0"/>
        <w:jc w:val="both"/>
      </w:pPr>
      <w:r>
        <w:rPr>
          <w:rFonts w:hint="eastAsia" w:asciiTheme="minorEastAsia" w:hAnsiTheme="minorEastAsia" w:cstheme="minorEastAsia"/>
          <w:color w:val="333333"/>
          <w:shd w:val="clear" w:color="auto" w:fill="FFFFFF"/>
        </w:rPr>
        <w:t> </w:t>
      </w:r>
      <w:bookmarkStart w:id="182" w:name="_Toc120614281"/>
    </w:p>
    <w:p w14:paraId="6C5737C3">
      <w:pPr>
        <w:pStyle w:val="13"/>
        <w:keepNext/>
        <w:spacing w:beforeAutospacing="0" w:afterAutospacing="0"/>
        <w:jc w:val="center"/>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评标方法与评标标准</w:t>
      </w:r>
    </w:p>
    <w:p w14:paraId="364532B0">
      <w:pPr>
        <w:pStyle w:val="13"/>
        <w:spacing w:beforeAutospacing="0" w:afterAutospacing="0"/>
        <w:jc w:val="both"/>
      </w:pPr>
      <w:r>
        <w:t> </w:t>
      </w:r>
    </w:p>
    <w:p w14:paraId="178042B3">
      <w:pPr>
        <w:spacing w:line="360" w:lineRule="auto"/>
        <w:ind w:firstLine="48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一、评标方法与定标原则</w:t>
      </w:r>
    </w:p>
    <w:p w14:paraId="223AABC7">
      <w:pPr>
        <w:pStyle w:val="13"/>
        <w:spacing w:before="120" w:beforeAutospacing="0" w:after="120" w:afterAutospacing="0" w:line="360" w:lineRule="auto"/>
        <w:ind w:firstLine="439"/>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3C35B39C">
      <w:pPr>
        <w:pStyle w:val="13"/>
        <w:spacing w:before="120" w:beforeAutospacing="0" w:after="120" w:afterAutospacing="0" w:line="360" w:lineRule="auto"/>
        <w:ind w:firstLine="439"/>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二、政府采购政策功能落实</w:t>
      </w:r>
    </w:p>
    <w:p w14:paraId="234CBFFC">
      <w:pPr>
        <w:pStyle w:val="13"/>
        <w:spacing w:before="120" w:beforeAutospacing="0" w:after="120" w:afterAutospacing="0" w:line="360" w:lineRule="auto"/>
        <w:ind w:firstLine="439"/>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1、中小微型企业有关政策</w:t>
      </w:r>
    </w:p>
    <w:p w14:paraId="56788B38">
      <w:pPr>
        <w:pStyle w:val="13"/>
        <w:spacing w:before="120" w:beforeAutospacing="0" w:after="120" w:afterAutospacing="0" w:line="360" w:lineRule="auto"/>
        <w:ind w:firstLine="439"/>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1）根据工信部等部委发布的《关于印发中小企业划型标准规定的通知》（工信部联企业〔2011〕300号），根据具体品目确定相应标准。符合上述条件的中小微型企业应按照招标文件中的格式要求提供《中小企业声明函》。</w:t>
      </w:r>
    </w:p>
    <w:p w14:paraId="07D408B0">
      <w:pPr>
        <w:pStyle w:val="13"/>
        <w:spacing w:before="120" w:beforeAutospacing="0" w:after="120" w:afterAutospacing="0" w:line="360" w:lineRule="auto"/>
        <w:ind w:firstLine="439"/>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（2）本项目为非预留份额的采购项目或采购包，执行价格扣除优惠政策，给予小微型企业、监狱企业或残疾人福利性单位报价给予 20%的扣除，用扣除后的价格参加评审。价格扣除比例对小型企业和微型企业同等对待，不作区分。</w:t>
      </w:r>
    </w:p>
    <w:p w14:paraId="3BF3B264">
      <w:pPr>
        <w:pStyle w:val="13"/>
        <w:spacing w:before="120" w:beforeAutospacing="0" w:after="120" w:afterAutospacing="0" w:line="360" w:lineRule="auto"/>
        <w:ind w:firstLine="439"/>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（3）供应商须按照采购文件要求提供相应的《企业声明函》（格式附后），不提供声明函或有弄虚作假的，将依法承担相应责任。</w:t>
      </w:r>
    </w:p>
    <w:p w14:paraId="7E8E43FB">
      <w:pPr>
        <w:pStyle w:val="13"/>
        <w:spacing w:before="120" w:beforeAutospacing="0" w:after="120" w:afterAutospacing="0" w:line="360" w:lineRule="auto"/>
        <w:ind w:firstLine="439"/>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（4）根据工信部等部委发布的《关于印发中小企业划型标准规定的通知》（工信部联企业【2011】300号）文件规定自行填写，根据具体品目确定相应标准。</w:t>
      </w:r>
    </w:p>
    <w:p w14:paraId="24E6833A">
      <w:pPr>
        <w:pStyle w:val="13"/>
        <w:spacing w:before="120" w:beforeAutospacing="0" w:after="120" w:afterAutospacing="0" w:line="360" w:lineRule="auto"/>
        <w:ind w:firstLine="439"/>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（5）以上规定未尽事项，按《政府采购促进中小企业发展管理办法》 （财库【2020】46号）等有关制度规定执行。</w:t>
      </w:r>
    </w:p>
    <w:p w14:paraId="70889313">
      <w:pPr>
        <w:pStyle w:val="13"/>
        <w:spacing w:before="120" w:beforeAutospacing="0" w:after="120" w:afterAutospacing="0" w:line="360" w:lineRule="auto"/>
        <w:ind w:firstLine="439"/>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2、监狱和戒毒企业</w:t>
      </w:r>
    </w:p>
    <w:p w14:paraId="35073F2A">
      <w:pPr>
        <w:pStyle w:val="13"/>
        <w:spacing w:before="120" w:beforeAutospacing="0" w:after="120" w:afterAutospacing="0" w:line="360" w:lineRule="auto"/>
        <w:ind w:firstLine="439"/>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（1）本项目对监狱和戒毒企业（简称监狱企业）视同小型、微型企业。</w:t>
      </w:r>
    </w:p>
    <w:p w14:paraId="1B65BEC4">
      <w:pPr>
        <w:pStyle w:val="13"/>
        <w:spacing w:before="120" w:beforeAutospacing="0" w:after="120" w:afterAutospacing="0" w:line="360" w:lineRule="auto"/>
        <w:ind w:firstLine="439"/>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（2）监狱企业参加政府采购活动时，需提供由省级以上监狱管理局、戒毒管理局(含新疆生产建设兵团)出具的属于监狱企业的证明文件。供应商如不提供上述证明文件，价格将不做相应扣除。</w:t>
      </w:r>
    </w:p>
    <w:p w14:paraId="5D09A17C">
      <w:pPr>
        <w:pStyle w:val="13"/>
        <w:spacing w:before="120" w:beforeAutospacing="0" w:after="120" w:afterAutospacing="0" w:line="360" w:lineRule="auto"/>
        <w:ind w:firstLine="439"/>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（3）监狱企业标准请参照《关于政府采购支持监狱企业发展有关问题的通知》（财库[2014]68号）。</w:t>
      </w:r>
    </w:p>
    <w:p w14:paraId="53C199CC">
      <w:pPr>
        <w:pStyle w:val="13"/>
        <w:spacing w:before="120" w:beforeAutospacing="0" w:after="120" w:afterAutospacing="0" w:line="360" w:lineRule="auto"/>
        <w:ind w:firstLine="439"/>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3、残疾人福利单位、监狱企业属于小型、微型企业的，不重复享受政策。</w:t>
      </w:r>
    </w:p>
    <w:p w14:paraId="4BFB8CBD">
      <w:pPr>
        <w:pStyle w:val="13"/>
        <w:spacing w:before="120" w:beforeAutospacing="0" w:after="120" w:afterAutospacing="0" w:line="360" w:lineRule="auto"/>
        <w:ind w:firstLine="439"/>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4B2F9CD7">
      <w:pPr>
        <w:pStyle w:val="13"/>
        <w:spacing w:before="120" w:beforeAutospacing="0" w:after="120" w:afterAutospacing="0" w:line="360" w:lineRule="auto"/>
        <w:ind w:firstLine="439"/>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5、供应商对于投标产品的商品包装、快递包装应按照“财办库〔2020〕123号《关于印发《商品包装政府采购需求标准（试行）》、《快递包装政府采购需求标准（试行）》的通知》”执行。</w:t>
      </w:r>
    </w:p>
    <w:p w14:paraId="1B4D8700">
      <w:pPr>
        <w:pStyle w:val="13"/>
        <w:spacing w:before="120" w:beforeAutospacing="0" w:after="120" w:afterAutospacing="0" w:line="360" w:lineRule="auto"/>
        <w:ind w:firstLine="439"/>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6、本文件中若涉及到数据中心采购，应按照《&lt;绿色数据中心政府采购需求标准（试行）&gt;的通知》（财库〔2023〕7号）执行。</w:t>
      </w:r>
    </w:p>
    <w:p w14:paraId="3E300D63">
      <w:pPr>
        <w:pStyle w:val="13"/>
        <w:spacing w:before="120" w:beforeAutospacing="0" w:after="120" w:afterAutospacing="0" w:line="360" w:lineRule="auto"/>
        <w:ind w:firstLine="439"/>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三、评标方法与评标标准</w:t>
      </w:r>
    </w:p>
    <w:tbl>
      <w:tblPr>
        <w:tblStyle w:val="16"/>
        <w:tblW w:w="9344" w:type="dxa"/>
        <w:jc w:val="center"/>
        <w:tblLayout w:type="fixed"/>
        <w:tblCellMar>
          <w:top w:w="0" w:type="dxa"/>
          <w:left w:w="108" w:type="dxa"/>
          <w:bottom w:w="0" w:type="dxa"/>
          <w:right w:w="108" w:type="dxa"/>
        </w:tblCellMar>
      </w:tblPr>
      <w:tblGrid>
        <w:gridCol w:w="513"/>
        <w:gridCol w:w="1435"/>
        <w:gridCol w:w="6900"/>
        <w:gridCol w:w="496"/>
      </w:tblGrid>
      <w:tr w14:paraId="27F35CD5">
        <w:tblPrEx>
          <w:tblCellMar>
            <w:top w:w="0" w:type="dxa"/>
            <w:left w:w="108" w:type="dxa"/>
            <w:bottom w:w="0" w:type="dxa"/>
            <w:right w:w="108" w:type="dxa"/>
          </w:tblCellMar>
        </w:tblPrEx>
        <w:trPr>
          <w:trHeight w:val="285" w:hRule="atLeast"/>
          <w:jc w:val="center"/>
        </w:trPr>
        <w:tc>
          <w:tcPr>
            <w:tcW w:w="5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34C7E4">
            <w:pPr>
              <w:widowControl/>
              <w:spacing w:line="360" w:lineRule="auto"/>
              <w:jc w:val="left"/>
              <w:textAlignment w:val="center"/>
              <w:rPr>
                <w:rFonts w:ascii="宋体" w:hAnsi="宋体" w:cs="宋体"/>
                <w:color w:val="000000"/>
                <w:sz w:val="24"/>
              </w:rPr>
            </w:pPr>
            <w:r>
              <w:rPr>
                <w:rFonts w:hint="eastAsia" w:ascii="宋体" w:hAnsi="宋体" w:cs="宋体"/>
                <w:color w:val="000000"/>
                <w:kern w:val="0"/>
                <w:sz w:val="24"/>
              </w:rPr>
              <w:t>序号</w:t>
            </w:r>
          </w:p>
        </w:tc>
        <w:tc>
          <w:tcPr>
            <w:tcW w:w="14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6F31E2">
            <w:pPr>
              <w:widowControl/>
              <w:spacing w:line="360" w:lineRule="auto"/>
              <w:jc w:val="left"/>
              <w:textAlignment w:val="center"/>
              <w:rPr>
                <w:rFonts w:ascii="宋体" w:hAnsi="宋体" w:cs="宋体"/>
                <w:color w:val="000000"/>
                <w:sz w:val="24"/>
              </w:rPr>
            </w:pPr>
            <w:r>
              <w:rPr>
                <w:rFonts w:hint="eastAsia" w:ascii="宋体" w:hAnsi="宋体" w:cs="宋体"/>
                <w:color w:val="000000"/>
                <w:kern w:val="0"/>
                <w:sz w:val="24"/>
              </w:rPr>
              <w:t>项目</w:t>
            </w:r>
          </w:p>
        </w:tc>
        <w:tc>
          <w:tcPr>
            <w:tcW w:w="69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07FC79">
            <w:pPr>
              <w:widowControl/>
              <w:spacing w:line="360" w:lineRule="auto"/>
              <w:jc w:val="left"/>
              <w:textAlignment w:val="center"/>
              <w:rPr>
                <w:rFonts w:ascii="宋体" w:hAnsi="宋体" w:cs="宋体"/>
                <w:color w:val="000000"/>
                <w:sz w:val="24"/>
              </w:rPr>
            </w:pPr>
            <w:r>
              <w:rPr>
                <w:rFonts w:hint="eastAsia" w:ascii="宋体" w:hAnsi="宋体" w:cs="宋体"/>
                <w:color w:val="000000"/>
                <w:kern w:val="0"/>
                <w:sz w:val="24"/>
              </w:rPr>
              <w:t>评分明细</w:t>
            </w:r>
          </w:p>
        </w:tc>
        <w:tc>
          <w:tcPr>
            <w:tcW w:w="4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D08561">
            <w:pPr>
              <w:widowControl/>
              <w:spacing w:line="360" w:lineRule="auto"/>
              <w:jc w:val="left"/>
              <w:textAlignment w:val="center"/>
              <w:rPr>
                <w:rFonts w:ascii="宋体" w:hAnsi="宋体" w:cs="宋体"/>
                <w:color w:val="000000"/>
                <w:sz w:val="24"/>
              </w:rPr>
            </w:pPr>
            <w:r>
              <w:rPr>
                <w:rFonts w:hint="eastAsia" w:ascii="宋体" w:hAnsi="宋体" w:cs="宋体"/>
                <w:color w:val="000000"/>
                <w:kern w:val="0"/>
                <w:sz w:val="24"/>
              </w:rPr>
              <w:t>分值</w:t>
            </w:r>
          </w:p>
        </w:tc>
      </w:tr>
      <w:tr w14:paraId="0F06167A">
        <w:tblPrEx>
          <w:tblCellMar>
            <w:top w:w="0" w:type="dxa"/>
            <w:left w:w="108" w:type="dxa"/>
            <w:bottom w:w="0" w:type="dxa"/>
            <w:right w:w="108" w:type="dxa"/>
          </w:tblCellMar>
        </w:tblPrEx>
        <w:trPr>
          <w:trHeight w:val="1680" w:hRule="atLeast"/>
          <w:jc w:val="center"/>
        </w:trPr>
        <w:tc>
          <w:tcPr>
            <w:tcW w:w="513"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23C78">
            <w:pPr>
              <w:widowControl/>
              <w:spacing w:line="360" w:lineRule="auto"/>
              <w:jc w:val="left"/>
              <w:textAlignment w:val="center"/>
              <w:rPr>
                <w:rFonts w:ascii="宋体" w:hAnsi="宋体" w:cs="宋体"/>
                <w:color w:val="000000"/>
                <w:kern w:val="0"/>
                <w:sz w:val="24"/>
              </w:rPr>
            </w:pPr>
            <w:r>
              <w:rPr>
                <w:rFonts w:hint="eastAsia" w:ascii="宋体" w:hAnsi="宋体" w:cs="宋体"/>
                <w:color w:val="000000"/>
                <w:kern w:val="0"/>
                <w:sz w:val="24"/>
              </w:rPr>
              <w:t>1</w:t>
            </w:r>
          </w:p>
        </w:tc>
        <w:tc>
          <w:tcPr>
            <w:tcW w:w="1435"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7D4B63">
            <w:pPr>
              <w:widowControl/>
              <w:spacing w:line="360" w:lineRule="auto"/>
              <w:jc w:val="left"/>
              <w:textAlignment w:val="center"/>
              <w:rPr>
                <w:rFonts w:ascii="宋体" w:hAnsi="宋体" w:cs="宋体"/>
                <w:color w:val="000000"/>
                <w:kern w:val="0"/>
                <w:sz w:val="24"/>
              </w:rPr>
            </w:pPr>
            <w:r>
              <w:rPr>
                <w:rFonts w:hint="eastAsia" w:ascii="宋体" w:hAnsi="宋体" w:cs="宋体"/>
                <w:color w:val="000000"/>
                <w:kern w:val="0"/>
                <w:sz w:val="24"/>
              </w:rPr>
              <w:t>价格</w:t>
            </w:r>
          </w:p>
        </w:tc>
        <w:tc>
          <w:tcPr>
            <w:tcW w:w="690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BFA78A">
            <w:pPr>
              <w:pStyle w:val="8"/>
              <w:spacing w:line="400" w:lineRule="exact"/>
              <w:rPr>
                <w:rFonts w:hAnsi="宋体" w:cs="宋体"/>
                <w:color w:val="000000"/>
                <w:kern w:val="0"/>
                <w:sz w:val="24"/>
              </w:rPr>
            </w:pPr>
            <w:r>
              <w:rPr>
                <w:rFonts w:hint="eastAsia" w:hAnsi="宋体" w:cs="宋体"/>
                <w:color w:val="000000"/>
                <w:kern w:val="0"/>
                <w:sz w:val="24"/>
              </w:rPr>
              <w:t>采用低价优先法计算，即满足招标文件要求的有效的最低投标价格为评标基准价，其价格分为满分</w:t>
            </w:r>
            <w:r>
              <w:rPr>
                <w:rFonts w:hint="eastAsia" w:hAnsi="宋体" w:cs="宋体"/>
                <w:color w:val="000000"/>
                <w:kern w:val="0"/>
                <w:sz w:val="24"/>
                <w:lang w:val="en-US" w:eastAsia="zh-CN"/>
              </w:rPr>
              <w:t>50</w:t>
            </w:r>
            <w:r>
              <w:rPr>
                <w:rFonts w:hint="eastAsia" w:hAnsi="宋体" w:cs="宋体"/>
                <w:color w:val="000000"/>
                <w:kern w:val="0"/>
                <w:sz w:val="24"/>
              </w:rPr>
              <w:t>分，其他投标单位的价格分统一按照下列公式计算：投标报价得分=(评标基准价／投标报价)×</w:t>
            </w:r>
            <w:r>
              <w:rPr>
                <w:rFonts w:hint="eastAsia" w:hAnsi="宋体" w:cs="宋体"/>
                <w:color w:val="000000"/>
                <w:kern w:val="0"/>
                <w:sz w:val="24"/>
                <w:lang w:val="en-US" w:eastAsia="zh-CN"/>
              </w:rPr>
              <w:t>50</w:t>
            </w:r>
            <w:r>
              <w:rPr>
                <w:rFonts w:hint="eastAsia" w:hAnsi="宋体" w:cs="宋体"/>
                <w:color w:val="000000"/>
                <w:kern w:val="0"/>
                <w:sz w:val="24"/>
              </w:rPr>
              <w:t>。价格分值小数点后保留两位小数，第三位不论大小一律不计。</w:t>
            </w:r>
          </w:p>
        </w:tc>
        <w:tc>
          <w:tcPr>
            <w:tcW w:w="4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EE17A5">
            <w:pPr>
              <w:widowControl/>
              <w:spacing w:line="360" w:lineRule="auto"/>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50</w:t>
            </w:r>
          </w:p>
        </w:tc>
      </w:tr>
      <w:tr w14:paraId="427A49E8">
        <w:tblPrEx>
          <w:tblCellMar>
            <w:top w:w="0" w:type="dxa"/>
            <w:left w:w="108" w:type="dxa"/>
            <w:bottom w:w="0" w:type="dxa"/>
            <w:right w:w="108" w:type="dxa"/>
          </w:tblCellMar>
        </w:tblPrEx>
        <w:trPr>
          <w:trHeight w:val="90" w:hRule="atLeast"/>
          <w:jc w:val="center"/>
        </w:trPr>
        <w:tc>
          <w:tcPr>
            <w:tcW w:w="513" w:type="dxa"/>
            <w:tcBorders>
              <w:top w:val="single" w:color="000000" w:sz="4" w:space="0"/>
              <w:left w:val="single" w:color="auto" w:sz="4" w:space="0"/>
              <w:right w:val="single" w:color="000000" w:sz="4" w:space="0"/>
            </w:tcBorders>
            <w:shd w:val="clear" w:color="auto" w:fill="FFFFFF"/>
            <w:noWrap/>
            <w:vAlign w:val="center"/>
          </w:tcPr>
          <w:p w14:paraId="3E130684">
            <w:pPr>
              <w:widowControl/>
              <w:spacing w:line="360" w:lineRule="auto"/>
              <w:jc w:val="left"/>
              <w:textAlignment w:val="center"/>
              <w:rPr>
                <w:rFonts w:ascii="宋体" w:hAnsi="宋体" w:eastAsia="宋体" w:cs="宋体"/>
                <w:color w:val="000000"/>
                <w:kern w:val="0"/>
                <w:sz w:val="24"/>
              </w:rPr>
            </w:pPr>
            <w:r>
              <w:rPr>
                <w:rFonts w:hint="eastAsia" w:ascii="宋体" w:hAnsi="宋体" w:eastAsia="宋体" w:cs="宋体"/>
                <w:color w:val="000000"/>
                <w:kern w:val="0"/>
                <w:sz w:val="24"/>
              </w:rPr>
              <w:t>2</w:t>
            </w:r>
          </w:p>
        </w:tc>
        <w:tc>
          <w:tcPr>
            <w:tcW w:w="1435" w:type="dxa"/>
            <w:tcBorders>
              <w:top w:val="single" w:color="000000" w:sz="4" w:space="0"/>
              <w:left w:val="single" w:color="000000" w:sz="4" w:space="0"/>
              <w:right w:val="single" w:color="000000" w:sz="4" w:space="0"/>
            </w:tcBorders>
            <w:shd w:val="clear" w:color="auto" w:fill="auto"/>
            <w:noWrap/>
            <w:vAlign w:val="center"/>
          </w:tcPr>
          <w:p w14:paraId="4EE5C57D">
            <w:pPr>
              <w:widowControl/>
              <w:spacing w:line="360" w:lineRule="auto"/>
              <w:jc w:val="left"/>
              <w:textAlignment w:val="center"/>
              <w:rPr>
                <w:rFonts w:ascii="宋体" w:hAnsi="宋体" w:eastAsia="宋体" w:cs="宋体"/>
                <w:color w:val="000000"/>
                <w:kern w:val="0"/>
                <w:sz w:val="24"/>
              </w:rPr>
            </w:pPr>
            <w:r>
              <w:rPr>
                <w:rFonts w:hint="eastAsia" w:ascii="宋体" w:hAnsi="宋体" w:eastAsia="宋体" w:cs="宋体"/>
                <w:color w:val="000000"/>
                <w:kern w:val="0"/>
                <w:sz w:val="24"/>
              </w:rPr>
              <w:t>业绩</w:t>
            </w:r>
          </w:p>
        </w:tc>
        <w:tc>
          <w:tcPr>
            <w:tcW w:w="6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240F8">
            <w:pPr>
              <w:widowControl/>
              <w:spacing w:line="360" w:lineRule="auto"/>
              <w:jc w:val="left"/>
              <w:textAlignment w:val="center"/>
              <w:rPr>
                <w:rFonts w:hint="eastAsia" w:ascii="宋体" w:hAnsi="宋体" w:eastAsia="宋体" w:cs="宋体"/>
                <w:color w:val="000000"/>
                <w:kern w:val="0"/>
                <w:sz w:val="24"/>
                <w:lang w:val="zh-CN" w:eastAsia="zh-CN"/>
              </w:rPr>
            </w:pPr>
            <w:r>
              <w:rPr>
                <w:rFonts w:hint="eastAsia" w:ascii="宋体" w:hAnsi="宋体" w:eastAsia="宋体" w:cs="宋体"/>
                <w:color w:val="000000"/>
                <w:kern w:val="0"/>
                <w:sz w:val="24"/>
                <w:lang w:val="en-US" w:eastAsia="zh-CN"/>
              </w:rPr>
              <w:t>投标人2022</w:t>
            </w:r>
            <w:r>
              <w:rPr>
                <w:rFonts w:hint="eastAsia" w:ascii="宋体" w:hAnsi="宋体" w:eastAsia="宋体" w:cs="宋体"/>
                <w:color w:val="000000"/>
                <w:kern w:val="0"/>
                <w:sz w:val="24"/>
                <w:lang w:val="zh-CN" w:eastAsia="zh-CN"/>
              </w:rPr>
              <w:t>年</w:t>
            </w:r>
            <w:r>
              <w:rPr>
                <w:rFonts w:hint="eastAsia" w:ascii="宋体" w:hAnsi="宋体" w:eastAsia="宋体" w:cs="宋体"/>
                <w:color w:val="000000"/>
                <w:kern w:val="0"/>
                <w:sz w:val="24"/>
                <w:lang w:val="en-US" w:eastAsia="zh-CN"/>
              </w:rPr>
              <w:t>1月1日</w:t>
            </w:r>
            <w:r>
              <w:rPr>
                <w:rFonts w:hint="eastAsia" w:ascii="宋体" w:hAnsi="宋体" w:eastAsia="宋体" w:cs="宋体"/>
                <w:color w:val="000000"/>
                <w:kern w:val="0"/>
                <w:sz w:val="24"/>
                <w:lang w:val="zh-CN" w:eastAsia="zh-CN"/>
              </w:rPr>
              <w:t>以</w:t>
            </w:r>
            <w:r>
              <w:rPr>
                <w:rFonts w:hint="eastAsia" w:ascii="宋体" w:hAnsi="宋体" w:eastAsia="宋体" w:cs="宋体"/>
                <w:color w:val="000000"/>
                <w:kern w:val="0"/>
                <w:sz w:val="24"/>
                <w:lang w:val="en-US" w:eastAsia="zh-CN"/>
              </w:rPr>
              <w:t>后单独</w:t>
            </w:r>
            <w:r>
              <w:rPr>
                <w:rFonts w:hint="eastAsia" w:ascii="宋体" w:hAnsi="宋体" w:eastAsia="宋体" w:cs="宋体"/>
                <w:color w:val="000000"/>
                <w:kern w:val="0"/>
                <w:sz w:val="24"/>
                <w:lang w:val="zh-CN" w:eastAsia="zh-CN"/>
              </w:rPr>
              <w:t>承办（</w:t>
            </w:r>
            <w:r>
              <w:rPr>
                <w:rFonts w:hint="eastAsia" w:ascii="宋体" w:hAnsi="宋体" w:eastAsia="宋体" w:cs="宋体"/>
                <w:color w:val="000000"/>
                <w:kern w:val="0"/>
                <w:sz w:val="24"/>
                <w:lang w:val="en-US" w:eastAsia="zh-CN"/>
              </w:rPr>
              <w:t>采购合同约定的保险项目起始时间在2022年1月1日或之后）</w:t>
            </w:r>
            <w:r>
              <w:rPr>
                <w:rFonts w:hint="eastAsia" w:ascii="宋体" w:hAnsi="宋体" w:eastAsia="宋体" w:cs="宋体"/>
                <w:color w:val="000000"/>
                <w:kern w:val="0"/>
                <w:sz w:val="24"/>
                <w:lang w:val="zh-CN" w:eastAsia="zh-CN"/>
              </w:rPr>
              <w:t>，类似</w:t>
            </w:r>
            <w:r>
              <w:rPr>
                <w:rFonts w:hint="eastAsia" w:ascii="宋体" w:hAnsi="宋体" w:eastAsia="宋体" w:cs="宋体"/>
                <w:color w:val="000000"/>
                <w:kern w:val="0"/>
                <w:sz w:val="24"/>
                <w:lang w:val="en-US" w:eastAsia="zh-CN"/>
              </w:rPr>
              <w:t>意外伤害保险的政府采购项目</w:t>
            </w:r>
            <w:r>
              <w:rPr>
                <w:rFonts w:hint="eastAsia" w:ascii="宋体" w:hAnsi="宋体" w:eastAsia="宋体" w:cs="宋体"/>
                <w:color w:val="000000"/>
                <w:kern w:val="0"/>
                <w:sz w:val="24"/>
                <w:lang w:val="zh-CN" w:eastAsia="zh-CN"/>
              </w:rPr>
              <w:t>，有</w:t>
            </w:r>
            <w:r>
              <w:rPr>
                <w:rFonts w:hint="eastAsia" w:ascii="宋体" w:hAnsi="宋体" w:eastAsia="宋体" w:cs="宋体"/>
                <w:color w:val="000000"/>
                <w:kern w:val="0"/>
                <w:sz w:val="24"/>
                <w:lang w:val="en-US" w:eastAsia="zh-CN"/>
              </w:rPr>
              <w:t>一项得2分；若该项目为共同承办项目或联合体承办项目，作为主承办单位（份额最大）的</w:t>
            </w:r>
            <w:r>
              <w:rPr>
                <w:rFonts w:hint="eastAsia" w:ascii="宋体" w:hAnsi="宋体" w:eastAsia="宋体" w:cs="宋体"/>
                <w:color w:val="000000"/>
                <w:kern w:val="0"/>
                <w:sz w:val="24"/>
                <w:lang w:val="zh-CN" w:eastAsia="zh-CN"/>
              </w:rPr>
              <w:t>有</w:t>
            </w:r>
            <w:r>
              <w:rPr>
                <w:rFonts w:hint="eastAsia" w:ascii="宋体" w:hAnsi="宋体" w:eastAsia="宋体" w:cs="宋体"/>
                <w:color w:val="000000"/>
                <w:kern w:val="0"/>
                <w:sz w:val="24"/>
                <w:lang w:val="en-US" w:eastAsia="zh-CN"/>
              </w:rPr>
              <w:t>一项得2分；作为次承办单位（份额非最大）有一项得1分；本项满分4</w:t>
            </w:r>
            <w:r>
              <w:rPr>
                <w:rFonts w:hint="eastAsia" w:ascii="宋体" w:hAnsi="宋体" w:eastAsia="宋体" w:cs="宋体"/>
                <w:color w:val="000000"/>
                <w:kern w:val="0"/>
                <w:sz w:val="24"/>
                <w:lang w:val="zh-CN" w:eastAsia="zh-CN"/>
              </w:rPr>
              <w:t>分。</w:t>
            </w:r>
          </w:p>
          <w:p w14:paraId="5C5CCBB0">
            <w:pPr>
              <w:widowControl/>
              <w:spacing w:line="360" w:lineRule="auto"/>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备注：1、须</w:t>
            </w:r>
            <w:r>
              <w:rPr>
                <w:rFonts w:hint="eastAsia" w:ascii="宋体" w:hAnsi="宋体" w:eastAsia="宋体" w:cs="宋体"/>
                <w:color w:val="000000"/>
                <w:kern w:val="0"/>
                <w:sz w:val="24"/>
                <w:lang w:val="zh-CN" w:eastAsia="zh-CN"/>
              </w:rPr>
              <w:t>提供中标通知书</w:t>
            </w:r>
            <w:r>
              <w:rPr>
                <w:rFonts w:hint="eastAsia" w:ascii="宋体" w:hAnsi="宋体" w:eastAsia="宋体" w:cs="宋体"/>
                <w:color w:val="000000"/>
                <w:kern w:val="0"/>
                <w:sz w:val="24"/>
                <w:lang w:val="en-US" w:eastAsia="zh-CN"/>
              </w:rPr>
              <w:t>和</w:t>
            </w:r>
            <w:r>
              <w:rPr>
                <w:rFonts w:hint="eastAsia" w:ascii="宋体" w:hAnsi="宋体" w:eastAsia="宋体" w:cs="宋体"/>
                <w:color w:val="000000"/>
                <w:kern w:val="0"/>
                <w:sz w:val="24"/>
                <w:lang w:val="zh-CN" w:eastAsia="zh-CN"/>
              </w:rPr>
              <w:t>服务合同</w:t>
            </w:r>
            <w:r>
              <w:rPr>
                <w:rFonts w:hint="eastAsia" w:ascii="宋体" w:hAnsi="宋体" w:eastAsia="宋体" w:cs="宋体"/>
                <w:color w:val="000000"/>
                <w:kern w:val="0"/>
                <w:sz w:val="24"/>
                <w:lang w:val="en-US" w:eastAsia="zh-CN"/>
              </w:rPr>
              <w:t>原件彩色扫描件加盖投标人公章</w:t>
            </w:r>
            <w:r>
              <w:rPr>
                <w:rFonts w:hint="eastAsia" w:ascii="宋体" w:hAnsi="宋体" w:eastAsia="宋体" w:cs="宋体"/>
                <w:color w:val="000000"/>
                <w:kern w:val="0"/>
                <w:sz w:val="24"/>
                <w:lang w:val="zh-CN" w:eastAsia="zh-CN"/>
              </w:rPr>
              <w:t>。项目中标</w:t>
            </w:r>
            <w:r>
              <w:rPr>
                <w:rFonts w:hint="eastAsia" w:ascii="宋体" w:hAnsi="宋体" w:eastAsia="宋体" w:cs="宋体"/>
                <w:color w:val="000000"/>
                <w:kern w:val="0"/>
                <w:sz w:val="24"/>
                <w:lang w:val="en-US" w:eastAsia="zh-CN"/>
              </w:rPr>
              <w:t>投标人</w:t>
            </w:r>
            <w:r>
              <w:rPr>
                <w:rFonts w:hint="eastAsia" w:ascii="宋体" w:hAnsi="宋体" w:eastAsia="宋体" w:cs="宋体"/>
                <w:color w:val="000000"/>
                <w:kern w:val="0"/>
                <w:sz w:val="24"/>
                <w:lang w:val="zh-CN" w:eastAsia="zh-CN"/>
              </w:rPr>
              <w:t>与本次</w:t>
            </w:r>
            <w:r>
              <w:rPr>
                <w:rFonts w:hint="eastAsia" w:ascii="宋体" w:hAnsi="宋体" w:eastAsia="宋体" w:cs="宋体"/>
                <w:color w:val="000000"/>
                <w:kern w:val="0"/>
                <w:sz w:val="24"/>
                <w:lang w:val="en-US" w:eastAsia="zh-CN"/>
              </w:rPr>
              <w:t>投标人（含联合体成员）</w:t>
            </w:r>
            <w:r>
              <w:rPr>
                <w:rFonts w:hint="eastAsia" w:ascii="宋体" w:hAnsi="宋体" w:eastAsia="宋体" w:cs="宋体"/>
                <w:color w:val="000000"/>
                <w:kern w:val="0"/>
                <w:sz w:val="24"/>
                <w:lang w:val="zh-CN" w:eastAsia="zh-CN"/>
              </w:rPr>
              <w:t>身份必须一致，</w:t>
            </w:r>
            <w:r>
              <w:rPr>
                <w:rFonts w:hint="eastAsia" w:ascii="宋体" w:hAnsi="宋体" w:eastAsia="宋体" w:cs="宋体"/>
                <w:color w:val="000000"/>
                <w:kern w:val="0"/>
                <w:sz w:val="24"/>
                <w:lang w:val="en-US" w:eastAsia="zh-CN"/>
              </w:rPr>
              <w:t>且不同年度的同一个项目不重复得分。须提供相关证明材料原件彩色扫描件加盖投标人公章，</w:t>
            </w:r>
            <w:r>
              <w:rPr>
                <w:rFonts w:hint="eastAsia" w:ascii="宋体" w:hAnsi="宋体" w:eastAsia="宋体" w:cs="宋体"/>
                <w:color w:val="000000"/>
                <w:kern w:val="0"/>
                <w:sz w:val="24"/>
                <w:lang w:val="zh-CN" w:eastAsia="zh-CN"/>
              </w:rPr>
              <w:t>不提供不得分。</w:t>
            </w:r>
          </w:p>
        </w:tc>
        <w:tc>
          <w:tcPr>
            <w:tcW w:w="496" w:type="dxa"/>
            <w:tcBorders>
              <w:top w:val="single" w:color="000000" w:sz="4" w:space="0"/>
              <w:left w:val="single" w:color="000000" w:sz="4" w:space="0"/>
              <w:right w:val="single" w:color="000000" w:sz="4" w:space="0"/>
            </w:tcBorders>
            <w:shd w:val="clear" w:color="auto" w:fill="FFFFFF"/>
            <w:noWrap/>
            <w:vAlign w:val="center"/>
          </w:tcPr>
          <w:p w14:paraId="49BD9183">
            <w:pPr>
              <w:widowControl/>
              <w:spacing w:line="360" w:lineRule="auto"/>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4</w:t>
            </w:r>
          </w:p>
        </w:tc>
      </w:tr>
      <w:tr w14:paraId="1CAD6CF7">
        <w:tblPrEx>
          <w:tblCellMar>
            <w:top w:w="0" w:type="dxa"/>
            <w:left w:w="108" w:type="dxa"/>
            <w:bottom w:w="0" w:type="dxa"/>
            <w:right w:w="108" w:type="dxa"/>
          </w:tblCellMar>
        </w:tblPrEx>
        <w:trPr>
          <w:trHeight w:val="90" w:hRule="atLeast"/>
          <w:jc w:val="center"/>
        </w:trPr>
        <w:tc>
          <w:tcPr>
            <w:tcW w:w="513" w:type="dxa"/>
            <w:tcBorders>
              <w:top w:val="single" w:color="000000" w:sz="4" w:space="0"/>
              <w:left w:val="single" w:color="auto" w:sz="4" w:space="0"/>
              <w:right w:val="single" w:color="000000" w:sz="4" w:space="0"/>
            </w:tcBorders>
            <w:shd w:val="clear" w:color="auto" w:fill="FFFFFF"/>
            <w:noWrap/>
            <w:vAlign w:val="center"/>
          </w:tcPr>
          <w:p w14:paraId="4B374DDF">
            <w:pPr>
              <w:widowControl/>
              <w:spacing w:line="360" w:lineRule="auto"/>
              <w:jc w:val="left"/>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rPr>
              <w:t>3</w:t>
            </w:r>
          </w:p>
        </w:tc>
        <w:tc>
          <w:tcPr>
            <w:tcW w:w="1435" w:type="dxa"/>
            <w:tcBorders>
              <w:top w:val="single" w:color="000000" w:sz="4" w:space="0"/>
              <w:left w:val="single" w:color="000000" w:sz="4" w:space="0"/>
              <w:right w:val="single" w:color="000000" w:sz="4" w:space="0"/>
            </w:tcBorders>
            <w:shd w:val="clear" w:color="auto" w:fill="auto"/>
            <w:noWrap/>
            <w:vAlign w:val="center"/>
          </w:tcPr>
          <w:p w14:paraId="6C0786B6">
            <w:pPr>
              <w:widowControl/>
              <w:spacing w:line="360" w:lineRule="auto"/>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综合偿付能力</w:t>
            </w:r>
          </w:p>
          <w:p w14:paraId="7B385690">
            <w:pPr>
              <w:widowControl/>
              <w:spacing w:line="360" w:lineRule="auto"/>
              <w:jc w:val="left"/>
              <w:textAlignment w:val="center"/>
              <w:rPr>
                <w:rFonts w:hint="eastAsia" w:ascii="宋体" w:hAnsi="宋体" w:eastAsia="宋体" w:cs="宋体"/>
                <w:color w:val="000000"/>
                <w:kern w:val="0"/>
                <w:sz w:val="24"/>
                <w:lang w:val="en-US" w:eastAsia="zh-CN"/>
              </w:rPr>
            </w:pPr>
          </w:p>
        </w:tc>
        <w:tc>
          <w:tcPr>
            <w:tcW w:w="6900" w:type="dxa"/>
            <w:tcBorders>
              <w:top w:val="single" w:color="000000" w:sz="4" w:space="0"/>
              <w:left w:val="single" w:color="000000" w:sz="4" w:space="0"/>
              <w:right w:val="single" w:color="000000" w:sz="4" w:space="0"/>
            </w:tcBorders>
            <w:shd w:val="clear" w:color="auto" w:fill="auto"/>
            <w:noWrap/>
            <w:vAlign w:val="center"/>
          </w:tcPr>
          <w:p w14:paraId="07E9AEF5">
            <w:pPr>
              <w:widowControl/>
              <w:spacing w:line="360" w:lineRule="auto"/>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1、偿付能力充足率（8分）:</w:t>
            </w:r>
          </w:p>
          <w:p w14:paraId="29051FB9">
            <w:pPr>
              <w:widowControl/>
              <w:spacing w:line="360" w:lineRule="auto"/>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根据投标人总公司2024年1-4季度综合偿付能力充足率</w:t>
            </w:r>
          </w:p>
          <w:p w14:paraId="243CF1FB">
            <w:pPr>
              <w:widowControl/>
              <w:spacing w:line="360" w:lineRule="auto"/>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（1）综合偿付能力充足率200%以上，（2分/季度）；</w:t>
            </w:r>
          </w:p>
          <w:p w14:paraId="7C305577">
            <w:pPr>
              <w:widowControl/>
              <w:spacing w:line="360" w:lineRule="auto"/>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（2）综合偿付能力充足率100-200%（含）以上，（1分/季度）；</w:t>
            </w:r>
          </w:p>
          <w:p w14:paraId="1F0E4F22">
            <w:pPr>
              <w:widowControl/>
              <w:spacing w:line="360" w:lineRule="auto"/>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（3）无综合偿付能力报告或低于100（含）%，（0分/季度）。</w:t>
            </w:r>
          </w:p>
          <w:p w14:paraId="423DE967">
            <w:pPr>
              <w:widowControl/>
              <w:spacing w:line="360" w:lineRule="auto"/>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注：供应商须提供中国保险行业协会网站下载的2024年1-4季度综合偿付能力充足率情况截图或投标人总公司经第三方审计公布的2024年1-4季度偿付能力报告加盖公章扫描上传。</w:t>
            </w:r>
          </w:p>
          <w:p w14:paraId="58EC7858">
            <w:pPr>
              <w:widowControl/>
              <w:spacing w:line="360" w:lineRule="auto"/>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2、风险综合评级(4分)</w:t>
            </w:r>
          </w:p>
          <w:p w14:paraId="120A8E05">
            <w:pPr>
              <w:widowControl/>
              <w:spacing w:line="360" w:lineRule="auto"/>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根据投标人总公司2024年1-4季度风险综合评级累加计分，每有一个季度获得“AAA或AA或A”得1分，每有一个季度获得“BBB或BB或B”得0.5分，出现C或D的，本项不得分。</w:t>
            </w:r>
          </w:p>
          <w:p w14:paraId="6AE8ADB9">
            <w:pPr>
              <w:widowControl/>
              <w:spacing w:line="360" w:lineRule="auto"/>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注：供应商须提供2024年1-4季度中国保险行业协会网站下载的风险综合评级情况截图或C-ROSS国家金融监督管理总局偿付能力监管信息系统风险综合评级情况截图（包含网站页面）加盖公章扫描上传。</w:t>
            </w:r>
          </w:p>
        </w:tc>
        <w:tc>
          <w:tcPr>
            <w:tcW w:w="4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C40ADB">
            <w:pPr>
              <w:widowControl/>
              <w:spacing w:line="360" w:lineRule="auto"/>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12</w:t>
            </w:r>
          </w:p>
        </w:tc>
      </w:tr>
      <w:tr w14:paraId="176F4CFD">
        <w:tblPrEx>
          <w:tblCellMar>
            <w:top w:w="0" w:type="dxa"/>
            <w:left w:w="108" w:type="dxa"/>
            <w:bottom w:w="0" w:type="dxa"/>
            <w:right w:w="108" w:type="dxa"/>
          </w:tblCellMar>
        </w:tblPrEx>
        <w:trPr>
          <w:trHeight w:val="2318" w:hRule="atLeast"/>
          <w:jc w:val="center"/>
        </w:trPr>
        <w:tc>
          <w:tcPr>
            <w:tcW w:w="513" w:type="dxa"/>
            <w:tcBorders>
              <w:top w:val="single" w:color="auto" w:sz="4" w:space="0"/>
              <w:left w:val="single" w:color="000000" w:sz="4" w:space="0"/>
              <w:bottom w:val="single" w:color="auto" w:sz="4" w:space="0"/>
              <w:right w:val="single" w:color="000000" w:sz="4" w:space="0"/>
            </w:tcBorders>
            <w:shd w:val="clear" w:color="auto" w:fill="FFFFFF"/>
            <w:noWrap/>
            <w:vAlign w:val="center"/>
          </w:tcPr>
          <w:p w14:paraId="4AB4E232">
            <w:pPr>
              <w:widowControl/>
              <w:spacing w:line="360" w:lineRule="auto"/>
              <w:jc w:val="lef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rPr>
              <w:t>4</w:t>
            </w:r>
          </w:p>
        </w:tc>
        <w:tc>
          <w:tcPr>
            <w:tcW w:w="14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2AE0C89A">
            <w:pPr>
              <w:widowControl/>
              <w:spacing w:line="360" w:lineRule="auto"/>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服务方案</w:t>
            </w:r>
          </w:p>
        </w:tc>
        <w:tc>
          <w:tcPr>
            <w:tcW w:w="6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1964A6">
            <w:pPr>
              <w:widowControl/>
              <w:spacing w:line="360" w:lineRule="auto"/>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1、评审委员会对投标人提供关于本项目的理赔服务方案【方案内容包括：理赔响应时间、理赔材料的简化（线上和线下理赔）、理赔预付制度、异地查勘等内容】</w:t>
            </w:r>
            <w:r>
              <w:rPr>
                <w:rFonts w:hint="default" w:ascii="宋体" w:hAnsi="宋体" w:eastAsia="宋体" w:cs="宋体"/>
                <w:color w:val="000000"/>
                <w:kern w:val="0"/>
                <w:sz w:val="24"/>
                <w:lang w:val="en-US" w:eastAsia="zh-CN"/>
              </w:rPr>
              <w:t>进行综合</w:t>
            </w:r>
            <w:r>
              <w:rPr>
                <w:rFonts w:hint="eastAsia" w:ascii="宋体" w:hAnsi="宋体" w:eastAsia="宋体" w:cs="宋体"/>
                <w:color w:val="000000"/>
                <w:kern w:val="0"/>
                <w:sz w:val="24"/>
                <w:lang w:val="en-US" w:eastAsia="zh-CN"/>
              </w:rPr>
              <w:t>评审。</w:t>
            </w:r>
            <w:r>
              <w:rPr>
                <w:rFonts w:hint="default" w:ascii="宋体" w:hAnsi="宋体" w:eastAsia="宋体" w:cs="宋体"/>
                <w:color w:val="000000"/>
                <w:kern w:val="0"/>
                <w:sz w:val="24"/>
                <w:lang w:val="en-US" w:eastAsia="zh-CN"/>
              </w:rPr>
              <w:t>以上方案内容完整的得</w:t>
            </w:r>
            <w:r>
              <w:rPr>
                <w:rFonts w:hint="eastAsia" w:ascii="宋体" w:hAnsi="宋体" w:eastAsia="宋体" w:cs="宋体"/>
                <w:color w:val="000000"/>
                <w:kern w:val="0"/>
                <w:sz w:val="24"/>
                <w:lang w:val="en-US" w:eastAsia="zh-CN"/>
              </w:rPr>
              <w:t>6</w:t>
            </w:r>
            <w:r>
              <w:rPr>
                <w:rFonts w:hint="default" w:ascii="宋体" w:hAnsi="宋体" w:eastAsia="宋体" w:cs="宋体"/>
                <w:color w:val="000000"/>
                <w:kern w:val="0"/>
                <w:sz w:val="24"/>
                <w:lang w:val="en-US" w:eastAsia="zh-CN"/>
              </w:rPr>
              <w:t>分</w:t>
            </w:r>
            <w:r>
              <w:rPr>
                <w:rFonts w:hint="eastAsia" w:ascii="宋体" w:hAnsi="宋体" w:eastAsia="宋体" w:cs="宋体"/>
                <w:color w:val="000000"/>
                <w:kern w:val="0"/>
                <w:sz w:val="24"/>
                <w:lang w:val="en-US" w:eastAsia="zh-CN"/>
              </w:rPr>
              <w:t>；</w:t>
            </w:r>
            <w:r>
              <w:rPr>
                <w:rFonts w:hint="default" w:ascii="宋体" w:hAnsi="宋体" w:eastAsia="宋体" w:cs="宋体"/>
                <w:color w:val="000000"/>
                <w:kern w:val="0"/>
                <w:sz w:val="24"/>
                <w:lang w:val="en-US" w:eastAsia="zh-CN"/>
              </w:rPr>
              <w:t>每有一</w:t>
            </w:r>
            <w:r>
              <w:rPr>
                <w:rFonts w:hint="eastAsia" w:ascii="宋体" w:hAnsi="宋体" w:eastAsia="宋体" w:cs="宋体"/>
                <w:color w:val="000000"/>
                <w:kern w:val="0"/>
                <w:sz w:val="24"/>
                <w:lang w:val="en-US" w:eastAsia="zh-CN"/>
              </w:rPr>
              <w:t>项</w:t>
            </w:r>
            <w:r>
              <w:rPr>
                <w:rFonts w:hint="default" w:ascii="宋体" w:hAnsi="宋体" w:eastAsia="宋体" w:cs="宋体"/>
                <w:color w:val="000000"/>
                <w:kern w:val="0"/>
                <w:sz w:val="24"/>
                <w:lang w:val="en-US" w:eastAsia="zh-CN"/>
              </w:rPr>
              <w:t>内容缺失的扣</w:t>
            </w:r>
            <w:r>
              <w:rPr>
                <w:rFonts w:hint="eastAsia" w:ascii="宋体" w:hAnsi="宋体" w:eastAsia="宋体" w:cs="宋体"/>
                <w:color w:val="000000"/>
                <w:kern w:val="0"/>
                <w:sz w:val="24"/>
                <w:lang w:val="en-US" w:eastAsia="zh-CN"/>
              </w:rPr>
              <w:t>1.5</w:t>
            </w:r>
            <w:r>
              <w:rPr>
                <w:rFonts w:hint="default" w:ascii="宋体" w:hAnsi="宋体" w:eastAsia="宋体" w:cs="宋体"/>
                <w:color w:val="000000"/>
                <w:kern w:val="0"/>
                <w:sz w:val="24"/>
                <w:lang w:val="en-US" w:eastAsia="zh-CN"/>
              </w:rPr>
              <w:t>分；每有一处存在缺陷（缺陷是指不适用于本项目，表述前后不一致或内容矛盾，语句有歧义，仅有框架或标题，涉及的规范及标准错误，套用其他项目内容等任意一种情形）扣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color w:val="000000"/>
                <w:kern w:val="0"/>
                <w:sz w:val="24"/>
                <w:lang w:val="en-US" w:eastAsia="zh-CN"/>
              </w:rPr>
              <w:t>0.5</w:t>
            </w:r>
            <w:r>
              <w:rPr>
                <w:rFonts w:hint="default" w:ascii="宋体" w:hAnsi="宋体" w:eastAsia="宋体" w:cs="宋体"/>
                <w:color w:val="000000"/>
                <w:kern w:val="0"/>
                <w:sz w:val="24"/>
                <w:lang w:val="en-US" w:eastAsia="zh-CN"/>
              </w:rPr>
              <w:t>分，直至该项分值</w:t>
            </w:r>
            <w:r>
              <w:rPr>
                <w:rFonts w:hint="eastAsia" w:ascii="宋体" w:hAnsi="宋体" w:eastAsia="宋体" w:cs="宋体"/>
                <w:color w:val="000000"/>
                <w:kern w:val="0"/>
                <w:sz w:val="24"/>
                <w:lang w:val="en-US" w:eastAsia="zh-CN"/>
              </w:rPr>
              <w:t>1.5</w:t>
            </w:r>
            <w:r>
              <w:rPr>
                <w:rFonts w:hint="default" w:ascii="宋体" w:hAnsi="宋体" w:eastAsia="宋体" w:cs="宋体"/>
                <w:color w:val="000000"/>
                <w:kern w:val="0"/>
                <w:sz w:val="24"/>
                <w:lang w:val="en-US" w:eastAsia="zh-CN"/>
              </w:rPr>
              <w:t>分扣完为止，不提供本项不得分</w:t>
            </w:r>
            <w:r>
              <w:rPr>
                <w:rFonts w:hint="eastAsia" w:ascii="宋体" w:hAnsi="宋体" w:eastAsia="宋体" w:cs="宋体"/>
                <w:color w:val="000000"/>
                <w:kern w:val="0"/>
                <w:sz w:val="24"/>
                <w:lang w:val="en-US" w:eastAsia="zh-CN"/>
              </w:rPr>
              <w:t>。</w:t>
            </w:r>
          </w:p>
          <w:p w14:paraId="214E18CD">
            <w:pPr>
              <w:widowControl/>
              <w:spacing w:line="360" w:lineRule="auto"/>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2、评审委员会对投标人提供关于本项目服务</w:t>
            </w:r>
            <w:r>
              <w:rPr>
                <w:rFonts w:hint="eastAsia" w:ascii="宋体" w:hAnsi="宋体" w:eastAsia="宋体" w:cs="宋体"/>
                <w:color w:val="000000"/>
                <w:kern w:val="0"/>
                <w:sz w:val="24"/>
                <w:lang w:val="zh-CN" w:eastAsia="zh-CN"/>
              </w:rPr>
              <w:t>团队组成</w:t>
            </w:r>
            <w:r>
              <w:rPr>
                <w:rFonts w:hint="eastAsia" w:ascii="宋体" w:hAnsi="宋体" w:eastAsia="宋体" w:cs="宋体"/>
                <w:color w:val="000000"/>
                <w:kern w:val="0"/>
                <w:sz w:val="24"/>
                <w:lang w:val="en-US" w:eastAsia="zh-CN"/>
              </w:rPr>
              <w:t>方案【方案内容包括：</w:t>
            </w:r>
            <w:r>
              <w:rPr>
                <w:rFonts w:hint="eastAsia" w:ascii="宋体" w:hAnsi="宋体" w:eastAsia="宋体" w:cs="宋体"/>
                <w:color w:val="000000"/>
                <w:kern w:val="0"/>
                <w:sz w:val="24"/>
                <w:lang w:val="zh-CN" w:eastAsia="zh-CN"/>
              </w:rPr>
              <w:t>项目团队人员情况（</w:t>
            </w:r>
            <w:r>
              <w:rPr>
                <w:rFonts w:hint="eastAsia" w:ascii="宋体" w:hAnsi="宋体" w:eastAsia="宋体" w:cs="宋体"/>
                <w:color w:val="000000"/>
                <w:kern w:val="0"/>
                <w:sz w:val="24"/>
                <w:lang w:val="en-US" w:eastAsia="zh-CN"/>
              </w:rPr>
              <w:t>项目经理、客户服务专员</w:t>
            </w:r>
            <w:r>
              <w:rPr>
                <w:rFonts w:hint="eastAsia" w:ascii="宋体" w:hAnsi="宋体" w:eastAsia="宋体" w:cs="宋体"/>
                <w:color w:val="000000"/>
                <w:kern w:val="0"/>
                <w:sz w:val="24"/>
                <w:lang w:val="zh-CN" w:eastAsia="zh-CN"/>
              </w:rPr>
              <w:t>）、工作分工安排、办公设备、交通工具等</w:t>
            </w:r>
            <w:r>
              <w:rPr>
                <w:rFonts w:hint="eastAsia" w:ascii="宋体" w:hAnsi="宋体" w:eastAsia="宋体" w:cs="宋体"/>
                <w:color w:val="000000"/>
                <w:kern w:val="0"/>
                <w:sz w:val="24"/>
                <w:lang w:val="en-US" w:eastAsia="zh-CN"/>
              </w:rPr>
              <w:t>内容】进行综合评审</w:t>
            </w:r>
            <w:r>
              <w:rPr>
                <w:rFonts w:hint="eastAsia" w:ascii="宋体" w:hAnsi="宋体" w:eastAsia="宋体" w:cs="宋体"/>
                <w:color w:val="000000"/>
                <w:kern w:val="0"/>
                <w:sz w:val="24"/>
                <w:lang w:val="zh-CN" w:eastAsia="zh-CN"/>
              </w:rPr>
              <w:t>。</w:t>
            </w:r>
            <w:r>
              <w:rPr>
                <w:rFonts w:hint="default" w:ascii="宋体" w:hAnsi="宋体" w:eastAsia="宋体" w:cs="宋体"/>
                <w:color w:val="000000"/>
                <w:kern w:val="0"/>
                <w:sz w:val="24"/>
                <w:lang w:val="en-US" w:eastAsia="zh-CN"/>
              </w:rPr>
              <w:t>以上方案内容完整的得</w:t>
            </w:r>
            <w:r>
              <w:rPr>
                <w:rFonts w:hint="eastAsia" w:ascii="宋体" w:hAnsi="宋体" w:eastAsia="宋体" w:cs="宋体"/>
                <w:color w:val="000000"/>
                <w:kern w:val="0"/>
                <w:sz w:val="24"/>
                <w:lang w:val="en-US" w:eastAsia="zh-CN"/>
              </w:rPr>
              <w:t>4</w:t>
            </w:r>
            <w:r>
              <w:rPr>
                <w:rFonts w:hint="default" w:ascii="宋体" w:hAnsi="宋体" w:eastAsia="宋体" w:cs="宋体"/>
                <w:color w:val="000000"/>
                <w:kern w:val="0"/>
                <w:sz w:val="24"/>
                <w:lang w:val="en-US" w:eastAsia="zh-CN"/>
              </w:rPr>
              <w:t>分</w:t>
            </w:r>
            <w:r>
              <w:rPr>
                <w:rFonts w:hint="eastAsia" w:ascii="宋体" w:hAnsi="宋体" w:eastAsia="宋体" w:cs="宋体"/>
                <w:color w:val="000000"/>
                <w:kern w:val="0"/>
                <w:sz w:val="24"/>
                <w:lang w:val="en-US" w:eastAsia="zh-CN"/>
              </w:rPr>
              <w:t>；</w:t>
            </w:r>
            <w:r>
              <w:rPr>
                <w:rFonts w:hint="default" w:ascii="宋体" w:hAnsi="宋体" w:eastAsia="宋体" w:cs="宋体"/>
                <w:color w:val="000000"/>
                <w:kern w:val="0"/>
                <w:sz w:val="24"/>
                <w:lang w:val="en-US" w:eastAsia="zh-CN"/>
              </w:rPr>
              <w:t>每有一</w:t>
            </w:r>
            <w:r>
              <w:rPr>
                <w:rFonts w:hint="eastAsia" w:ascii="宋体" w:hAnsi="宋体" w:eastAsia="宋体" w:cs="宋体"/>
                <w:color w:val="000000"/>
                <w:kern w:val="0"/>
                <w:sz w:val="24"/>
                <w:lang w:val="en-US" w:eastAsia="zh-CN"/>
              </w:rPr>
              <w:t>项</w:t>
            </w:r>
            <w:r>
              <w:rPr>
                <w:rFonts w:hint="default" w:ascii="宋体" w:hAnsi="宋体" w:eastAsia="宋体" w:cs="宋体"/>
                <w:color w:val="000000"/>
                <w:kern w:val="0"/>
                <w:sz w:val="24"/>
                <w:lang w:val="en-US" w:eastAsia="zh-CN"/>
              </w:rPr>
              <w:t>内容缺失的扣</w:t>
            </w:r>
            <w:r>
              <w:rPr>
                <w:rFonts w:hint="eastAsia" w:ascii="宋体" w:hAnsi="宋体" w:eastAsia="宋体" w:cs="宋体"/>
                <w:color w:val="000000"/>
                <w:kern w:val="0"/>
                <w:sz w:val="24"/>
                <w:lang w:val="en-US" w:eastAsia="zh-CN"/>
              </w:rPr>
              <w:t>1</w:t>
            </w:r>
            <w:r>
              <w:rPr>
                <w:rFonts w:hint="default" w:ascii="宋体" w:hAnsi="宋体" w:eastAsia="宋体" w:cs="宋体"/>
                <w:color w:val="000000"/>
                <w:kern w:val="0"/>
                <w:sz w:val="24"/>
                <w:lang w:val="en-US" w:eastAsia="zh-CN"/>
              </w:rPr>
              <w:t>分；每有一处存在缺陷（缺陷是指不适用于本项目，表述前后不一致或内容矛盾，语句有歧义，仅有框架或标题，涉及的规范及标准错误，套用其他项目内容等任意一种情形）扣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color w:val="000000"/>
                <w:kern w:val="0"/>
                <w:sz w:val="24"/>
                <w:lang w:val="en-US" w:eastAsia="zh-CN"/>
              </w:rPr>
              <w:t>0.5</w:t>
            </w:r>
            <w:r>
              <w:rPr>
                <w:rFonts w:hint="default" w:ascii="宋体" w:hAnsi="宋体" w:eastAsia="宋体" w:cs="宋体"/>
                <w:color w:val="000000"/>
                <w:kern w:val="0"/>
                <w:sz w:val="24"/>
                <w:lang w:val="en-US" w:eastAsia="zh-CN"/>
              </w:rPr>
              <w:t>分，直至该项分值</w:t>
            </w:r>
            <w:r>
              <w:rPr>
                <w:rFonts w:hint="eastAsia" w:ascii="宋体" w:hAnsi="宋体" w:eastAsia="宋体" w:cs="宋体"/>
                <w:color w:val="000000"/>
                <w:kern w:val="0"/>
                <w:sz w:val="24"/>
                <w:lang w:val="en-US" w:eastAsia="zh-CN"/>
              </w:rPr>
              <w:t>1</w:t>
            </w:r>
            <w:r>
              <w:rPr>
                <w:rFonts w:hint="default" w:ascii="宋体" w:hAnsi="宋体" w:eastAsia="宋体" w:cs="宋体"/>
                <w:color w:val="000000"/>
                <w:kern w:val="0"/>
                <w:sz w:val="24"/>
                <w:lang w:val="en-US" w:eastAsia="zh-CN"/>
              </w:rPr>
              <w:t>分扣完为止，不提供本项不得分</w:t>
            </w:r>
            <w:r>
              <w:rPr>
                <w:rFonts w:hint="eastAsia" w:ascii="宋体" w:hAnsi="宋体" w:eastAsia="宋体" w:cs="宋体"/>
                <w:color w:val="000000"/>
                <w:kern w:val="0"/>
                <w:sz w:val="24"/>
                <w:lang w:val="en-US" w:eastAsia="zh-CN"/>
              </w:rPr>
              <w:t>。</w:t>
            </w:r>
          </w:p>
          <w:p w14:paraId="3BA54489">
            <w:pPr>
              <w:widowControl/>
              <w:spacing w:line="360" w:lineRule="auto"/>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3、评审委员会对投标人提供关于本项目</w:t>
            </w:r>
            <w:r>
              <w:rPr>
                <w:rFonts w:hint="eastAsia" w:ascii="宋体" w:hAnsi="宋体" w:eastAsia="宋体" w:cs="宋体"/>
                <w:color w:val="000000"/>
                <w:kern w:val="0"/>
                <w:sz w:val="24"/>
                <w:lang w:val="zh-CN" w:eastAsia="zh-CN"/>
              </w:rPr>
              <w:t>内部业务管理方案（</w:t>
            </w:r>
            <w:r>
              <w:rPr>
                <w:rFonts w:hint="eastAsia" w:ascii="宋体" w:hAnsi="宋体" w:eastAsia="宋体" w:cs="宋体"/>
                <w:color w:val="000000"/>
                <w:kern w:val="0"/>
                <w:sz w:val="24"/>
                <w:lang w:val="en-US" w:eastAsia="zh-CN"/>
              </w:rPr>
              <w:t>方案内容包括：</w:t>
            </w:r>
            <w:r>
              <w:rPr>
                <w:rFonts w:hint="eastAsia" w:ascii="宋体" w:hAnsi="宋体" w:eastAsia="宋体" w:cs="宋体"/>
                <w:color w:val="000000"/>
                <w:kern w:val="0"/>
                <w:sz w:val="24"/>
                <w:lang w:val="zh-CN" w:eastAsia="zh-CN"/>
              </w:rPr>
              <w:t>档案管理、资料报表报送等</w:t>
            </w:r>
            <w:r>
              <w:rPr>
                <w:rFonts w:hint="eastAsia" w:ascii="宋体" w:hAnsi="宋体" w:eastAsia="宋体" w:cs="宋体"/>
                <w:color w:val="000000"/>
                <w:kern w:val="0"/>
                <w:sz w:val="24"/>
                <w:lang w:val="en-US" w:eastAsia="zh-CN"/>
              </w:rPr>
              <w:t>内容</w:t>
            </w:r>
            <w:r>
              <w:rPr>
                <w:rFonts w:hint="eastAsia" w:ascii="宋体" w:hAnsi="宋体" w:eastAsia="宋体" w:cs="宋体"/>
                <w:color w:val="000000"/>
                <w:kern w:val="0"/>
                <w:sz w:val="24"/>
                <w:lang w:val="zh-CN" w:eastAsia="zh-CN"/>
              </w:rPr>
              <w:t>）</w:t>
            </w:r>
            <w:r>
              <w:rPr>
                <w:rFonts w:hint="eastAsia" w:ascii="宋体" w:hAnsi="宋体" w:eastAsia="宋体" w:cs="宋体"/>
                <w:color w:val="000000"/>
                <w:kern w:val="0"/>
                <w:sz w:val="24"/>
                <w:lang w:val="en-US" w:eastAsia="zh-CN"/>
              </w:rPr>
              <w:t>进行综合评审</w:t>
            </w:r>
            <w:r>
              <w:rPr>
                <w:rFonts w:hint="eastAsia" w:ascii="宋体" w:hAnsi="宋体" w:eastAsia="宋体" w:cs="宋体"/>
                <w:color w:val="000000"/>
                <w:kern w:val="0"/>
                <w:sz w:val="24"/>
                <w:lang w:val="zh-CN" w:eastAsia="zh-CN"/>
              </w:rPr>
              <w:t>。</w:t>
            </w:r>
            <w:r>
              <w:rPr>
                <w:rFonts w:hint="default" w:ascii="宋体" w:hAnsi="宋体" w:eastAsia="宋体" w:cs="宋体"/>
                <w:color w:val="000000"/>
                <w:kern w:val="0"/>
                <w:sz w:val="24"/>
                <w:lang w:val="en-US" w:eastAsia="zh-CN"/>
              </w:rPr>
              <w:t>以上方案内容完整的得</w:t>
            </w:r>
            <w:r>
              <w:rPr>
                <w:rFonts w:hint="eastAsia" w:ascii="宋体" w:hAnsi="宋体" w:eastAsia="宋体" w:cs="宋体"/>
                <w:color w:val="000000"/>
                <w:kern w:val="0"/>
                <w:sz w:val="24"/>
                <w:lang w:val="en-US" w:eastAsia="zh-CN"/>
              </w:rPr>
              <w:t>4</w:t>
            </w:r>
            <w:r>
              <w:rPr>
                <w:rFonts w:hint="default" w:ascii="宋体" w:hAnsi="宋体" w:eastAsia="宋体" w:cs="宋体"/>
                <w:color w:val="000000"/>
                <w:kern w:val="0"/>
                <w:sz w:val="24"/>
                <w:lang w:val="en-US" w:eastAsia="zh-CN"/>
              </w:rPr>
              <w:t>分</w:t>
            </w:r>
            <w:r>
              <w:rPr>
                <w:rFonts w:hint="eastAsia" w:ascii="宋体" w:hAnsi="宋体" w:eastAsia="宋体" w:cs="宋体"/>
                <w:color w:val="000000"/>
                <w:kern w:val="0"/>
                <w:sz w:val="24"/>
                <w:lang w:val="en-US" w:eastAsia="zh-CN"/>
              </w:rPr>
              <w:t>；</w:t>
            </w:r>
            <w:r>
              <w:rPr>
                <w:rFonts w:hint="default" w:ascii="宋体" w:hAnsi="宋体" w:eastAsia="宋体" w:cs="宋体"/>
                <w:color w:val="000000"/>
                <w:kern w:val="0"/>
                <w:sz w:val="24"/>
                <w:lang w:val="en-US" w:eastAsia="zh-CN"/>
              </w:rPr>
              <w:t>每有一</w:t>
            </w:r>
            <w:r>
              <w:rPr>
                <w:rFonts w:hint="eastAsia" w:ascii="宋体" w:hAnsi="宋体" w:eastAsia="宋体" w:cs="宋体"/>
                <w:color w:val="000000"/>
                <w:kern w:val="0"/>
                <w:sz w:val="24"/>
                <w:lang w:val="en-US" w:eastAsia="zh-CN"/>
              </w:rPr>
              <w:t>项</w:t>
            </w:r>
            <w:r>
              <w:rPr>
                <w:rFonts w:hint="default" w:ascii="宋体" w:hAnsi="宋体" w:eastAsia="宋体" w:cs="宋体"/>
                <w:color w:val="000000"/>
                <w:kern w:val="0"/>
                <w:sz w:val="24"/>
                <w:lang w:val="en-US" w:eastAsia="zh-CN"/>
              </w:rPr>
              <w:t>内容缺失的扣</w:t>
            </w:r>
            <w:r>
              <w:rPr>
                <w:rFonts w:hint="eastAsia" w:ascii="宋体" w:hAnsi="宋体" w:eastAsia="宋体" w:cs="宋体"/>
                <w:color w:val="000000"/>
                <w:kern w:val="0"/>
                <w:sz w:val="24"/>
                <w:lang w:val="en-US" w:eastAsia="zh-CN"/>
              </w:rPr>
              <w:t>2</w:t>
            </w:r>
            <w:r>
              <w:rPr>
                <w:rFonts w:hint="default" w:ascii="宋体" w:hAnsi="宋体" w:eastAsia="宋体" w:cs="宋体"/>
                <w:color w:val="000000"/>
                <w:kern w:val="0"/>
                <w:sz w:val="24"/>
                <w:lang w:val="en-US" w:eastAsia="zh-CN"/>
              </w:rPr>
              <w:t>分；每有一处存在缺陷（缺陷是指不适用于本项目，表述前后不一致或内容矛盾，语句有歧义，仅有框架或标题，涉及的规范及标准错误，套用其他项目内容等任意一种情形）扣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color w:val="000000"/>
                <w:kern w:val="0"/>
                <w:sz w:val="24"/>
                <w:lang w:val="en-US" w:eastAsia="zh-CN"/>
              </w:rPr>
              <w:t>1</w:t>
            </w:r>
            <w:r>
              <w:rPr>
                <w:rFonts w:hint="default" w:ascii="宋体" w:hAnsi="宋体" w:eastAsia="宋体" w:cs="宋体"/>
                <w:color w:val="000000"/>
                <w:kern w:val="0"/>
                <w:sz w:val="24"/>
                <w:lang w:val="en-US" w:eastAsia="zh-CN"/>
              </w:rPr>
              <w:t>分，直至该项分值</w:t>
            </w:r>
            <w:r>
              <w:rPr>
                <w:rFonts w:hint="eastAsia" w:ascii="宋体" w:hAnsi="宋体" w:eastAsia="宋体" w:cs="宋体"/>
                <w:color w:val="000000"/>
                <w:kern w:val="0"/>
                <w:sz w:val="24"/>
                <w:lang w:val="en-US" w:eastAsia="zh-CN"/>
              </w:rPr>
              <w:t>2</w:t>
            </w:r>
            <w:r>
              <w:rPr>
                <w:rFonts w:hint="default" w:ascii="宋体" w:hAnsi="宋体" w:eastAsia="宋体" w:cs="宋体"/>
                <w:color w:val="000000"/>
                <w:kern w:val="0"/>
                <w:sz w:val="24"/>
                <w:lang w:val="en-US" w:eastAsia="zh-CN"/>
              </w:rPr>
              <w:t>分扣完为止，不提供本项不得分</w:t>
            </w:r>
            <w:r>
              <w:rPr>
                <w:rFonts w:hint="eastAsia" w:ascii="宋体" w:hAnsi="宋体" w:eastAsia="宋体" w:cs="宋体"/>
                <w:color w:val="000000"/>
                <w:kern w:val="0"/>
                <w:sz w:val="24"/>
                <w:lang w:val="en-US" w:eastAsia="zh-CN"/>
              </w:rPr>
              <w:t>。</w:t>
            </w:r>
          </w:p>
          <w:p w14:paraId="7235720E">
            <w:pPr>
              <w:widowControl/>
              <w:spacing w:line="360" w:lineRule="auto"/>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4、评审委员会对投标人提供关于本项目的服务质量承诺及监督措施方案（方案内容包括：服务投诉处理办法、服务监督措施、赔款滞纳金、争议处理等内容）进行综合评审</w:t>
            </w:r>
            <w:r>
              <w:rPr>
                <w:rFonts w:hint="eastAsia" w:ascii="宋体" w:hAnsi="宋体" w:eastAsia="宋体" w:cs="宋体"/>
                <w:color w:val="000000"/>
                <w:kern w:val="0"/>
                <w:sz w:val="24"/>
                <w:lang w:val="zh-CN" w:eastAsia="zh-CN"/>
              </w:rPr>
              <w:t>。</w:t>
            </w:r>
            <w:r>
              <w:rPr>
                <w:rFonts w:hint="default" w:ascii="宋体" w:hAnsi="宋体" w:eastAsia="宋体" w:cs="宋体"/>
                <w:color w:val="000000"/>
                <w:kern w:val="0"/>
                <w:sz w:val="24"/>
                <w:lang w:val="en-US" w:eastAsia="zh-CN"/>
              </w:rPr>
              <w:t>以上方案内容完整的得</w:t>
            </w:r>
            <w:r>
              <w:rPr>
                <w:rFonts w:hint="eastAsia" w:ascii="宋体" w:hAnsi="宋体" w:eastAsia="宋体" w:cs="宋体"/>
                <w:color w:val="000000"/>
                <w:kern w:val="0"/>
                <w:sz w:val="24"/>
                <w:lang w:val="en-US" w:eastAsia="zh-CN"/>
              </w:rPr>
              <w:t>4</w:t>
            </w:r>
            <w:r>
              <w:rPr>
                <w:rFonts w:hint="default" w:ascii="宋体" w:hAnsi="宋体" w:eastAsia="宋体" w:cs="宋体"/>
                <w:color w:val="000000"/>
                <w:kern w:val="0"/>
                <w:sz w:val="24"/>
                <w:lang w:val="en-US" w:eastAsia="zh-CN"/>
              </w:rPr>
              <w:t>分</w:t>
            </w:r>
            <w:r>
              <w:rPr>
                <w:rFonts w:hint="eastAsia" w:ascii="宋体" w:hAnsi="宋体" w:eastAsia="宋体" w:cs="宋体"/>
                <w:color w:val="000000"/>
                <w:kern w:val="0"/>
                <w:sz w:val="24"/>
                <w:lang w:val="en-US" w:eastAsia="zh-CN"/>
              </w:rPr>
              <w:t>；</w:t>
            </w:r>
            <w:r>
              <w:rPr>
                <w:rFonts w:hint="default" w:ascii="宋体" w:hAnsi="宋体" w:eastAsia="宋体" w:cs="宋体"/>
                <w:color w:val="000000"/>
                <w:kern w:val="0"/>
                <w:sz w:val="24"/>
                <w:lang w:val="en-US" w:eastAsia="zh-CN"/>
              </w:rPr>
              <w:t>每有一</w:t>
            </w:r>
            <w:r>
              <w:rPr>
                <w:rFonts w:hint="eastAsia" w:ascii="宋体" w:hAnsi="宋体" w:eastAsia="宋体" w:cs="宋体"/>
                <w:color w:val="000000"/>
                <w:kern w:val="0"/>
                <w:sz w:val="24"/>
                <w:lang w:val="en-US" w:eastAsia="zh-CN"/>
              </w:rPr>
              <w:t>项</w:t>
            </w:r>
            <w:r>
              <w:rPr>
                <w:rFonts w:hint="default" w:ascii="宋体" w:hAnsi="宋体" w:eastAsia="宋体" w:cs="宋体"/>
                <w:color w:val="000000"/>
                <w:kern w:val="0"/>
                <w:sz w:val="24"/>
                <w:lang w:val="en-US" w:eastAsia="zh-CN"/>
              </w:rPr>
              <w:t>内容缺失的扣</w:t>
            </w:r>
            <w:r>
              <w:rPr>
                <w:rFonts w:hint="eastAsia" w:ascii="宋体" w:hAnsi="宋体" w:eastAsia="宋体" w:cs="宋体"/>
                <w:color w:val="000000"/>
                <w:kern w:val="0"/>
                <w:sz w:val="24"/>
                <w:lang w:val="en-US" w:eastAsia="zh-CN"/>
              </w:rPr>
              <w:t>1</w:t>
            </w:r>
            <w:r>
              <w:rPr>
                <w:rFonts w:hint="default" w:ascii="宋体" w:hAnsi="宋体" w:eastAsia="宋体" w:cs="宋体"/>
                <w:color w:val="000000"/>
                <w:kern w:val="0"/>
                <w:sz w:val="24"/>
                <w:lang w:val="en-US" w:eastAsia="zh-CN"/>
              </w:rPr>
              <w:t>分；每有一处存在缺陷（缺陷是指不适用于本项目，表述前后不一致或内容矛盾，语句有歧义，仅有框架或标题，涉及的规范及标准错误，套用其他项目内容等任意一种情形）扣</w:t>
            </w:r>
            <w:r>
              <w:rPr>
                <w:rFonts w:hint="eastAsia" w:ascii="宋体" w:hAnsi="宋体" w:eastAsia="宋体" w:cs="宋体"/>
                <w:color w:val="000000"/>
                <w:kern w:val="0"/>
                <w:sz w:val="24"/>
                <w:lang w:val="en-US" w:eastAsia="zh-CN"/>
              </w:rPr>
              <w:t>0.5</w:t>
            </w:r>
            <w:r>
              <w:rPr>
                <w:rFonts w:hint="default" w:ascii="宋体" w:hAnsi="宋体" w:eastAsia="宋体" w:cs="宋体"/>
                <w:color w:val="000000"/>
                <w:kern w:val="0"/>
                <w:sz w:val="24"/>
                <w:lang w:val="en-US" w:eastAsia="zh-CN"/>
              </w:rPr>
              <w:t>分，直至该项分值</w:t>
            </w:r>
            <w:r>
              <w:rPr>
                <w:rFonts w:hint="eastAsia" w:ascii="宋体" w:hAnsi="宋体" w:eastAsia="宋体" w:cs="宋体"/>
                <w:color w:val="000000"/>
                <w:kern w:val="0"/>
                <w:sz w:val="24"/>
                <w:lang w:val="en-US" w:eastAsia="zh-CN"/>
              </w:rPr>
              <w:t>1</w:t>
            </w:r>
            <w:r>
              <w:rPr>
                <w:rFonts w:hint="default" w:ascii="宋体" w:hAnsi="宋体" w:eastAsia="宋体" w:cs="宋体"/>
                <w:color w:val="000000"/>
                <w:kern w:val="0"/>
                <w:sz w:val="24"/>
                <w:lang w:val="en-US" w:eastAsia="zh-CN"/>
              </w:rPr>
              <w:t>分扣完为止，不提供本项不得分</w:t>
            </w:r>
            <w:r>
              <w:rPr>
                <w:rFonts w:hint="eastAsia" w:ascii="宋体" w:hAnsi="宋体" w:eastAsia="宋体" w:cs="宋体"/>
                <w:color w:val="000000"/>
                <w:kern w:val="0"/>
                <w:sz w:val="24"/>
                <w:lang w:val="en-US" w:eastAsia="zh-CN"/>
              </w:rPr>
              <w:t>。</w:t>
            </w:r>
            <w:bookmarkStart w:id="198" w:name="_GoBack"/>
            <w:bookmarkEnd w:id="198"/>
          </w:p>
        </w:tc>
        <w:tc>
          <w:tcPr>
            <w:tcW w:w="4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68C785">
            <w:pPr>
              <w:widowControl/>
              <w:spacing w:line="360" w:lineRule="auto"/>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18</w:t>
            </w:r>
          </w:p>
        </w:tc>
      </w:tr>
      <w:tr w14:paraId="7B3F6BA2">
        <w:tblPrEx>
          <w:tblCellMar>
            <w:top w:w="0" w:type="dxa"/>
            <w:left w:w="108" w:type="dxa"/>
            <w:bottom w:w="0" w:type="dxa"/>
            <w:right w:w="108" w:type="dxa"/>
          </w:tblCellMar>
        </w:tblPrEx>
        <w:trPr>
          <w:trHeight w:val="720" w:hRule="atLeast"/>
          <w:jc w:val="center"/>
        </w:trPr>
        <w:tc>
          <w:tcPr>
            <w:tcW w:w="513" w:type="dxa"/>
            <w:tcBorders>
              <w:top w:val="single" w:color="auto" w:sz="4" w:space="0"/>
              <w:left w:val="single" w:color="000000" w:sz="4" w:space="0"/>
              <w:bottom w:val="single" w:color="auto" w:sz="4" w:space="0"/>
              <w:right w:val="single" w:color="000000" w:sz="4" w:space="0"/>
            </w:tcBorders>
            <w:shd w:val="clear" w:color="auto" w:fill="FFFFFF"/>
            <w:noWrap/>
            <w:vAlign w:val="center"/>
          </w:tcPr>
          <w:p w14:paraId="4C16D8EF">
            <w:pPr>
              <w:widowControl/>
              <w:spacing w:line="360" w:lineRule="auto"/>
              <w:jc w:val="lef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rPr>
              <w:t>5</w:t>
            </w:r>
          </w:p>
        </w:tc>
        <w:tc>
          <w:tcPr>
            <w:tcW w:w="14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4B20418D">
            <w:pPr>
              <w:widowControl/>
              <w:spacing w:line="360" w:lineRule="auto"/>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zh-CN"/>
              </w:rPr>
              <w:t>赔付</w:t>
            </w:r>
            <w:r>
              <w:rPr>
                <w:rFonts w:hint="eastAsia" w:ascii="宋体" w:hAnsi="宋体" w:eastAsia="宋体" w:cs="宋体"/>
                <w:color w:val="000000"/>
                <w:kern w:val="0"/>
                <w:sz w:val="24"/>
                <w:lang w:val="en-US" w:eastAsia="zh-CN"/>
              </w:rPr>
              <w:t>时效承诺</w:t>
            </w:r>
          </w:p>
        </w:tc>
        <w:tc>
          <w:tcPr>
            <w:tcW w:w="6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83026">
            <w:pPr>
              <w:widowControl/>
              <w:spacing w:line="360" w:lineRule="auto"/>
              <w:jc w:val="left"/>
              <w:textAlignment w:val="center"/>
              <w:rPr>
                <w:rFonts w:hint="eastAsia" w:ascii="宋体" w:hAnsi="宋体" w:eastAsia="宋体" w:cs="宋体"/>
                <w:color w:val="000000"/>
                <w:kern w:val="0"/>
                <w:sz w:val="24"/>
                <w:lang w:val="zh-CN"/>
              </w:rPr>
            </w:pPr>
            <w:r>
              <w:rPr>
                <w:rFonts w:hint="eastAsia" w:ascii="宋体" w:hAnsi="宋体" w:eastAsia="宋体" w:cs="宋体"/>
                <w:color w:val="000000"/>
                <w:kern w:val="0"/>
                <w:sz w:val="24"/>
                <w:lang w:val="en-US" w:eastAsia="zh-CN"/>
              </w:rPr>
              <w:t>1、</w:t>
            </w:r>
            <w:r>
              <w:rPr>
                <w:rFonts w:hint="eastAsia" w:ascii="宋体" w:hAnsi="宋体" w:eastAsia="宋体" w:cs="宋体"/>
                <w:color w:val="000000"/>
                <w:kern w:val="0"/>
                <w:sz w:val="24"/>
                <w:lang w:val="zh-CN"/>
              </w:rPr>
              <w:t>出险赔付时效承诺，以</w:t>
            </w:r>
            <w:r>
              <w:rPr>
                <w:rFonts w:hint="eastAsia" w:ascii="宋体" w:hAnsi="宋体" w:eastAsia="宋体" w:cs="宋体"/>
                <w:color w:val="000000"/>
                <w:kern w:val="0"/>
                <w:sz w:val="24"/>
                <w:lang w:val="en-US" w:eastAsia="zh-CN"/>
              </w:rPr>
              <w:t>省渔业互助保险协会</w:t>
            </w:r>
            <w:r>
              <w:rPr>
                <w:rFonts w:hint="eastAsia" w:ascii="宋体" w:hAnsi="宋体" w:eastAsia="宋体" w:cs="宋体"/>
                <w:color w:val="000000"/>
                <w:kern w:val="0"/>
                <w:sz w:val="24"/>
                <w:lang w:val="zh-CN"/>
              </w:rPr>
              <w:t>赔付</w:t>
            </w:r>
            <w:r>
              <w:rPr>
                <w:rFonts w:hint="eastAsia" w:ascii="宋体" w:hAnsi="宋体" w:eastAsia="宋体" w:cs="宋体"/>
                <w:color w:val="000000"/>
                <w:kern w:val="0"/>
                <w:sz w:val="24"/>
                <w:lang w:val="en-US" w:eastAsia="zh-CN"/>
              </w:rPr>
              <w:t>时间节点为准</w:t>
            </w:r>
            <w:r>
              <w:rPr>
                <w:rFonts w:hint="eastAsia" w:ascii="宋体" w:hAnsi="宋体" w:eastAsia="宋体" w:cs="宋体"/>
                <w:color w:val="000000"/>
                <w:kern w:val="0"/>
                <w:sz w:val="24"/>
                <w:lang w:val="zh-CN"/>
              </w:rPr>
              <w:t>（</w:t>
            </w:r>
            <w:r>
              <w:rPr>
                <w:rFonts w:hint="eastAsia" w:ascii="宋体" w:hAnsi="宋体" w:eastAsia="宋体" w:cs="宋体"/>
                <w:color w:val="000000"/>
                <w:kern w:val="0"/>
                <w:sz w:val="24"/>
                <w:lang w:val="en-US" w:eastAsia="zh-CN"/>
              </w:rPr>
              <w:t>3分</w:t>
            </w:r>
            <w:r>
              <w:rPr>
                <w:rFonts w:hint="eastAsia" w:ascii="宋体" w:hAnsi="宋体" w:eastAsia="宋体" w:cs="宋体"/>
                <w:color w:val="000000"/>
                <w:kern w:val="0"/>
                <w:sz w:val="24"/>
                <w:lang w:val="zh-CN"/>
              </w:rPr>
              <w:t>）：</w:t>
            </w:r>
          </w:p>
          <w:p w14:paraId="3D2AF6C7">
            <w:pPr>
              <w:widowControl/>
              <w:spacing w:line="360" w:lineRule="auto"/>
              <w:jc w:val="left"/>
              <w:textAlignment w:val="center"/>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供应商能够在</w:t>
            </w:r>
            <w:r>
              <w:rPr>
                <w:rFonts w:hint="eastAsia" w:ascii="宋体" w:hAnsi="宋体" w:eastAsia="宋体" w:cs="宋体"/>
                <w:color w:val="000000"/>
                <w:kern w:val="0"/>
                <w:sz w:val="24"/>
                <w:lang w:val="en-US" w:eastAsia="zh-CN"/>
              </w:rPr>
              <w:t>省渔业互助保险协会</w:t>
            </w:r>
            <w:r>
              <w:rPr>
                <w:rFonts w:hint="eastAsia" w:ascii="宋体" w:hAnsi="宋体" w:eastAsia="宋体" w:cs="宋体"/>
                <w:color w:val="000000"/>
                <w:kern w:val="0"/>
                <w:sz w:val="24"/>
                <w:lang w:val="zh-CN"/>
              </w:rPr>
              <w:t>赔付</w:t>
            </w:r>
            <w:r>
              <w:rPr>
                <w:rFonts w:hint="eastAsia" w:ascii="宋体" w:hAnsi="宋体" w:eastAsia="宋体" w:cs="宋体"/>
                <w:color w:val="000000"/>
                <w:kern w:val="0"/>
                <w:sz w:val="24"/>
                <w:lang w:val="en-US" w:eastAsia="zh-CN"/>
              </w:rPr>
              <w:t>后</w:t>
            </w:r>
            <w:r>
              <w:rPr>
                <w:rFonts w:hint="eastAsia" w:ascii="宋体" w:hAnsi="宋体" w:eastAsia="宋体" w:cs="宋体"/>
                <w:color w:val="000000"/>
                <w:kern w:val="0"/>
                <w:sz w:val="24"/>
                <w:lang w:val="zh-CN"/>
              </w:rPr>
              <w:t>一个工作日内赔付的得</w:t>
            </w:r>
            <w:r>
              <w:rPr>
                <w:rFonts w:hint="eastAsia" w:ascii="宋体" w:hAnsi="宋体" w:eastAsia="宋体" w:cs="宋体"/>
                <w:color w:val="000000"/>
                <w:kern w:val="0"/>
                <w:sz w:val="24"/>
                <w:lang w:val="en-US" w:eastAsia="zh-CN"/>
              </w:rPr>
              <w:t>3</w:t>
            </w:r>
            <w:r>
              <w:rPr>
                <w:rFonts w:hint="eastAsia" w:ascii="宋体" w:hAnsi="宋体" w:eastAsia="宋体" w:cs="宋体"/>
                <w:color w:val="000000"/>
                <w:kern w:val="0"/>
                <w:sz w:val="24"/>
                <w:lang w:val="zh-CN"/>
              </w:rPr>
              <w:t xml:space="preserve">分； </w:t>
            </w:r>
          </w:p>
          <w:p w14:paraId="085FED8B">
            <w:pPr>
              <w:widowControl/>
              <w:spacing w:line="360" w:lineRule="auto"/>
              <w:jc w:val="left"/>
              <w:textAlignment w:val="center"/>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供应商能够在</w:t>
            </w:r>
            <w:r>
              <w:rPr>
                <w:rFonts w:hint="eastAsia" w:ascii="宋体" w:hAnsi="宋体" w:eastAsia="宋体" w:cs="宋体"/>
                <w:color w:val="000000"/>
                <w:kern w:val="0"/>
                <w:sz w:val="24"/>
                <w:lang w:val="en-US" w:eastAsia="zh-CN"/>
              </w:rPr>
              <w:t>省渔业互助保险协会</w:t>
            </w:r>
            <w:r>
              <w:rPr>
                <w:rFonts w:hint="eastAsia" w:ascii="宋体" w:hAnsi="宋体" w:eastAsia="宋体" w:cs="宋体"/>
                <w:color w:val="000000"/>
                <w:kern w:val="0"/>
                <w:sz w:val="24"/>
                <w:lang w:val="zh-CN"/>
              </w:rPr>
              <w:t>赔付</w:t>
            </w:r>
            <w:r>
              <w:rPr>
                <w:rFonts w:hint="eastAsia" w:ascii="宋体" w:hAnsi="宋体" w:eastAsia="宋体" w:cs="宋体"/>
                <w:color w:val="000000"/>
                <w:kern w:val="0"/>
                <w:sz w:val="24"/>
                <w:lang w:val="en-US" w:eastAsia="zh-CN"/>
              </w:rPr>
              <w:t>后</w:t>
            </w:r>
            <w:r>
              <w:rPr>
                <w:rFonts w:hint="eastAsia" w:ascii="宋体" w:hAnsi="宋体" w:eastAsia="宋体" w:cs="宋体"/>
                <w:color w:val="000000"/>
                <w:kern w:val="0"/>
                <w:sz w:val="24"/>
                <w:lang w:val="zh-CN"/>
              </w:rPr>
              <w:t>两个工作日内赔付的得</w:t>
            </w:r>
            <w:r>
              <w:rPr>
                <w:rFonts w:hint="eastAsia" w:ascii="宋体" w:hAnsi="宋体" w:eastAsia="宋体" w:cs="宋体"/>
                <w:color w:val="000000"/>
                <w:kern w:val="0"/>
                <w:sz w:val="24"/>
                <w:lang w:val="en-US" w:eastAsia="zh-CN"/>
              </w:rPr>
              <w:t>2</w:t>
            </w:r>
            <w:r>
              <w:rPr>
                <w:rFonts w:hint="eastAsia" w:ascii="宋体" w:hAnsi="宋体" w:eastAsia="宋体" w:cs="宋体"/>
                <w:color w:val="000000"/>
                <w:kern w:val="0"/>
                <w:sz w:val="24"/>
                <w:lang w:val="zh-CN"/>
              </w:rPr>
              <w:t>分；</w:t>
            </w:r>
          </w:p>
          <w:p w14:paraId="4FD784C0">
            <w:pPr>
              <w:widowControl/>
              <w:spacing w:line="360" w:lineRule="auto"/>
              <w:jc w:val="left"/>
              <w:textAlignment w:val="center"/>
              <w:rPr>
                <w:rFonts w:hint="eastAsia" w:ascii="宋体" w:hAnsi="宋体" w:eastAsia="宋体" w:cs="宋体"/>
                <w:color w:val="000000"/>
                <w:kern w:val="0"/>
                <w:sz w:val="24"/>
                <w:lang w:val="zh-CN"/>
              </w:rPr>
            </w:pPr>
            <w:r>
              <w:rPr>
                <w:rFonts w:hint="eastAsia" w:ascii="宋体" w:hAnsi="宋体" w:eastAsia="宋体" w:cs="宋体"/>
                <w:color w:val="000000"/>
                <w:kern w:val="0"/>
                <w:sz w:val="24"/>
                <w:lang w:val="zh-CN"/>
              </w:rPr>
              <w:t>供应商能够在</w:t>
            </w:r>
            <w:r>
              <w:rPr>
                <w:rFonts w:hint="eastAsia" w:ascii="宋体" w:hAnsi="宋体" w:eastAsia="宋体" w:cs="宋体"/>
                <w:color w:val="000000"/>
                <w:kern w:val="0"/>
                <w:sz w:val="24"/>
                <w:lang w:val="en-US" w:eastAsia="zh-CN"/>
              </w:rPr>
              <w:t>省渔业互助保险协会</w:t>
            </w:r>
            <w:r>
              <w:rPr>
                <w:rFonts w:hint="eastAsia" w:ascii="宋体" w:hAnsi="宋体" w:eastAsia="宋体" w:cs="宋体"/>
                <w:color w:val="000000"/>
                <w:kern w:val="0"/>
                <w:sz w:val="24"/>
                <w:lang w:val="zh-CN"/>
              </w:rPr>
              <w:t>赔付</w:t>
            </w:r>
            <w:r>
              <w:rPr>
                <w:rFonts w:hint="eastAsia" w:ascii="宋体" w:hAnsi="宋体" w:eastAsia="宋体" w:cs="宋体"/>
                <w:color w:val="000000"/>
                <w:kern w:val="0"/>
                <w:sz w:val="24"/>
                <w:lang w:val="en-US" w:eastAsia="zh-CN"/>
              </w:rPr>
              <w:t>后</w:t>
            </w:r>
            <w:r>
              <w:rPr>
                <w:rFonts w:hint="eastAsia" w:ascii="宋体" w:hAnsi="宋体" w:eastAsia="宋体" w:cs="宋体"/>
                <w:color w:val="000000"/>
                <w:kern w:val="0"/>
                <w:sz w:val="24"/>
                <w:lang w:val="zh-CN"/>
              </w:rPr>
              <w:t>三个工作日内赔付的得</w:t>
            </w:r>
            <w:r>
              <w:rPr>
                <w:rFonts w:hint="eastAsia" w:ascii="宋体" w:hAnsi="宋体" w:eastAsia="宋体" w:cs="宋体"/>
                <w:color w:val="000000"/>
                <w:kern w:val="0"/>
                <w:sz w:val="24"/>
                <w:lang w:val="en-US" w:eastAsia="zh-CN"/>
              </w:rPr>
              <w:t>1</w:t>
            </w:r>
            <w:r>
              <w:rPr>
                <w:rFonts w:hint="eastAsia" w:ascii="宋体" w:hAnsi="宋体" w:eastAsia="宋体" w:cs="宋体"/>
                <w:color w:val="000000"/>
                <w:kern w:val="0"/>
                <w:sz w:val="24"/>
                <w:lang w:val="zh-CN"/>
              </w:rPr>
              <w:t>分；</w:t>
            </w:r>
          </w:p>
          <w:p w14:paraId="177794D6">
            <w:pPr>
              <w:widowControl/>
              <w:spacing w:line="360" w:lineRule="auto"/>
              <w:jc w:val="left"/>
              <w:textAlignment w:val="center"/>
              <w:rPr>
                <w:rFonts w:hint="eastAsia" w:ascii="宋体" w:hAnsi="宋体" w:eastAsia="宋体" w:cs="宋体"/>
                <w:color w:val="000000"/>
                <w:kern w:val="0"/>
                <w:sz w:val="24"/>
              </w:rPr>
            </w:pPr>
            <w:r>
              <w:rPr>
                <w:rFonts w:hint="eastAsia" w:ascii="宋体" w:hAnsi="宋体" w:eastAsia="宋体" w:cs="宋体"/>
                <w:color w:val="000000"/>
                <w:kern w:val="0"/>
                <w:sz w:val="24"/>
                <w:lang w:val="en-US" w:eastAsia="zh-CN"/>
              </w:rPr>
              <w:t>备注：</w:t>
            </w:r>
            <w:r>
              <w:rPr>
                <w:rFonts w:hint="eastAsia" w:ascii="宋体" w:hAnsi="宋体" w:eastAsia="宋体" w:cs="宋体"/>
                <w:color w:val="000000"/>
                <w:kern w:val="0"/>
                <w:sz w:val="24"/>
                <w:lang w:val="zh-CN"/>
              </w:rPr>
              <w:t>须提供</w:t>
            </w:r>
            <w:r>
              <w:rPr>
                <w:rFonts w:hint="eastAsia" w:ascii="宋体" w:hAnsi="宋体" w:eastAsia="宋体" w:cs="宋体"/>
                <w:color w:val="000000"/>
                <w:kern w:val="0"/>
                <w:sz w:val="24"/>
                <w:lang w:val="en-US" w:eastAsia="zh-CN"/>
              </w:rPr>
              <w:t>满足要求的承诺函加盖投标人公章，否则不得分。</w:t>
            </w:r>
          </w:p>
        </w:tc>
        <w:tc>
          <w:tcPr>
            <w:tcW w:w="4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A0281E">
            <w:pPr>
              <w:widowControl/>
              <w:spacing w:line="360" w:lineRule="auto"/>
              <w:jc w:val="left"/>
              <w:textAlignment w:val="center"/>
              <w:rPr>
                <w:rFonts w:hint="eastAsia" w:ascii="宋体" w:hAnsi="宋体" w:eastAsia="宋体" w:cs="宋体"/>
                <w:color w:val="000000"/>
                <w:kern w:val="0"/>
                <w:sz w:val="24"/>
                <w:lang w:eastAsia="zh-CN"/>
              </w:rPr>
            </w:pPr>
            <w:r>
              <w:rPr>
                <w:rFonts w:hint="eastAsia" w:ascii="宋体" w:hAnsi="宋体" w:eastAsia="宋体" w:cs="宋体"/>
                <w:color w:val="000000"/>
                <w:kern w:val="0"/>
                <w:sz w:val="24"/>
                <w:lang w:val="en-US" w:eastAsia="zh-CN"/>
              </w:rPr>
              <w:t>3</w:t>
            </w:r>
          </w:p>
        </w:tc>
      </w:tr>
      <w:tr w14:paraId="4055A991">
        <w:tblPrEx>
          <w:tblCellMar>
            <w:top w:w="0" w:type="dxa"/>
            <w:left w:w="108" w:type="dxa"/>
            <w:bottom w:w="0" w:type="dxa"/>
            <w:right w:w="108" w:type="dxa"/>
          </w:tblCellMar>
        </w:tblPrEx>
        <w:trPr>
          <w:trHeight w:val="720" w:hRule="atLeast"/>
          <w:jc w:val="center"/>
        </w:trPr>
        <w:tc>
          <w:tcPr>
            <w:tcW w:w="513" w:type="dxa"/>
            <w:tcBorders>
              <w:top w:val="single" w:color="auto" w:sz="4" w:space="0"/>
              <w:left w:val="single" w:color="000000" w:sz="4" w:space="0"/>
              <w:bottom w:val="single" w:color="auto" w:sz="4" w:space="0"/>
              <w:right w:val="single" w:color="000000" w:sz="4" w:space="0"/>
            </w:tcBorders>
            <w:shd w:val="clear" w:color="auto" w:fill="FFFFFF"/>
            <w:noWrap/>
            <w:vAlign w:val="center"/>
          </w:tcPr>
          <w:p w14:paraId="38F5346A">
            <w:pPr>
              <w:widowControl/>
              <w:spacing w:line="360" w:lineRule="auto"/>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6</w:t>
            </w:r>
          </w:p>
        </w:tc>
        <w:tc>
          <w:tcPr>
            <w:tcW w:w="1435" w:type="dxa"/>
            <w:tcBorders>
              <w:top w:val="single" w:color="auto" w:sz="4" w:space="0"/>
              <w:left w:val="single" w:color="000000" w:sz="4" w:space="0"/>
              <w:bottom w:val="single" w:color="auto" w:sz="4" w:space="0"/>
              <w:right w:val="single" w:color="000000" w:sz="4" w:space="0"/>
            </w:tcBorders>
            <w:shd w:val="clear" w:color="auto" w:fill="auto"/>
            <w:noWrap/>
            <w:vAlign w:val="center"/>
          </w:tcPr>
          <w:p w14:paraId="7190FD9F">
            <w:pPr>
              <w:widowControl/>
              <w:spacing w:line="360" w:lineRule="auto"/>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增值条款</w:t>
            </w:r>
          </w:p>
        </w:tc>
        <w:tc>
          <w:tcPr>
            <w:tcW w:w="69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2B68B">
            <w:pPr>
              <w:widowControl/>
              <w:spacing w:line="360" w:lineRule="auto"/>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1、投标供应商对本项目《射阳县海洋渔业船员意外伤害险保险条款》中，意外伤残的保额最高为人民币20万元的基础上，每增加7万元得1分；本项最高得6分。</w:t>
            </w:r>
          </w:p>
          <w:p w14:paraId="678BFE81">
            <w:pPr>
              <w:widowControl/>
              <w:spacing w:line="360" w:lineRule="auto"/>
              <w:jc w:val="left"/>
              <w:textAlignment w:val="center"/>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2、投标供应商在本文件中规定的意外伤害住院医疗补助金额的基础上，每增加1万元得1分；本项最高得7分。</w:t>
            </w:r>
          </w:p>
          <w:p w14:paraId="0C5CD5EF">
            <w:pPr>
              <w:widowControl/>
              <w:spacing w:line="360" w:lineRule="auto"/>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备注：投标供应商提供相关满足内容要求的承诺函加盖投标人公章，否则不得分。</w:t>
            </w:r>
          </w:p>
        </w:tc>
        <w:tc>
          <w:tcPr>
            <w:tcW w:w="49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1790FF">
            <w:pPr>
              <w:widowControl/>
              <w:spacing w:line="360" w:lineRule="auto"/>
              <w:jc w:val="left"/>
              <w:textAlignment w:val="center"/>
              <w:rPr>
                <w:rFonts w:hint="default" w:ascii="宋体" w:hAnsi="宋体" w:eastAsia="宋体" w:cs="宋体"/>
                <w:color w:val="000000"/>
                <w:kern w:val="0"/>
                <w:sz w:val="24"/>
                <w:lang w:val="en-US" w:eastAsia="zh-CN"/>
              </w:rPr>
            </w:pPr>
            <w:r>
              <w:rPr>
                <w:rFonts w:hint="eastAsia" w:ascii="宋体" w:hAnsi="宋体" w:eastAsia="宋体" w:cs="宋体"/>
                <w:color w:val="000000"/>
                <w:kern w:val="0"/>
                <w:sz w:val="24"/>
                <w:lang w:val="en-US" w:eastAsia="zh-CN"/>
              </w:rPr>
              <w:t>13</w:t>
            </w:r>
          </w:p>
        </w:tc>
      </w:tr>
    </w:tbl>
    <w:p w14:paraId="4F984346">
      <w:pPr>
        <w:pStyle w:val="33"/>
        <w:spacing w:line="500" w:lineRule="exact"/>
        <w:ind w:firstLine="480"/>
        <w:rPr>
          <w:rFonts w:ascii="宋体" w:hAnsi="宋体" w:eastAsia="宋体" w:cs="宋体"/>
          <w:b/>
          <w:bCs/>
          <w:color w:val="000000"/>
          <w:sz w:val="24"/>
        </w:rPr>
      </w:pPr>
      <w:r>
        <w:rPr>
          <w:rFonts w:hint="eastAsia" w:ascii="宋体" w:hAnsi="宋体" w:eastAsia="宋体" w:cs="宋体"/>
          <w:b/>
          <w:bCs/>
          <w:color w:val="000000"/>
          <w:sz w:val="24"/>
        </w:rPr>
        <w:t> 备注：</w:t>
      </w:r>
    </w:p>
    <w:p w14:paraId="12538156">
      <w:pPr>
        <w:pStyle w:val="33"/>
        <w:spacing w:line="500" w:lineRule="exact"/>
        <w:ind w:firstLine="480"/>
        <w:rPr>
          <w:rFonts w:ascii="宋体" w:hAnsi="宋体" w:eastAsia="宋体" w:cs="宋体"/>
          <w:color w:val="000000"/>
          <w:sz w:val="24"/>
        </w:rPr>
      </w:pPr>
      <w:r>
        <w:rPr>
          <w:rFonts w:hint="eastAsia" w:ascii="宋体" w:hAnsi="宋体" w:eastAsia="宋体" w:cs="宋体"/>
          <w:color w:val="000000"/>
          <w:sz w:val="24"/>
        </w:rPr>
        <w:t>1、评分标准中要求提供的证明材料均以原件扫描加盖所要求的公章在投标文件中反映，相关证明材料须按要求完整提供且不得涂改，本项目所须提供的证明材料均应原件扫描（如原件是彩色件，则扫描件须是彩色）。否则不能得分。</w:t>
      </w:r>
    </w:p>
    <w:p w14:paraId="50706B3A">
      <w:pPr>
        <w:pStyle w:val="33"/>
        <w:spacing w:line="500" w:lineRule="exact"/>
        <w:ind w:firstLine="480"/>
        <w:rPr>
          <w:rFonts w:ascii="宋体" w:hAnsi="宋体" w:eastAsia="宋体" w:cs="宋体"/>
          <w:color w:val="000000"/>
          <w:sz w:val="24"/>
        </w:rPr>
      </w:pPr>
      <w:r>
        <w:rPr>
          <w:rFonts w:hint="eastAsia" w:ascii="宋体" w:hAnsi="宋体" w:eastAsia="宋体" w:cs="宋体"/>
          <w:color w:val="000000"/>
          <w:sz w:val="24"/>
        </w:rPr>
        <w:t>2、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p>
    <w:p w14:paraId="0F9CB7D3">
      <w:pPr>
        <w:pStyle w:val="13"/>
        <w:keepNext/>
        <w:spacing w:beforeAutospacing="0" w:afterAutospacing="0"/>
        <w:jc w:val="center"/>
        <w:rPr>
          <w:rFonts w:hint="eastAsia" w:ascii="黑体" w:hAnsi="宋体" w:eastAsia="黑体" w:cs="黑体"/>
          <w:color w:val="000000"/>
          <w:sz w:val="44"/>
          <w:szCs w:val="44"/>
        </w:rPr>
      </w:pPr>
    </w:p>
    <w:p w14:paraId="2E22F404">
      <w:pPr>
        <w:pStyle w:val="13"/>
        <w:keepNext/>
        <w:spacing w:beforeAutospacing="0" w:afterAutospacing="0"/>
        <w:jc w:val="center"/>
        <w:rPr>
          <w:rFonts w:hint="eastAsia" w:ascii="黑体" w:hAnsi="宋体" w:eastAsia="黑体" w:cs="黑体"/>
          <w:color w:val="000000"/>
          <w:sz w:val="44"/>
          <w:szCs w:val="44"/>
        </w:rPr>
      </w:pPr>
    </w:p>
    <w:p w14:paraId="47E93165">
      <w:pPr>
        <w:pStyle w:val="13"/>
        <w:keepNext/>
        <w:spacing w:beforeAutospacing="0" w:afterAutospacing="0"/>
        <w:jc w:val="center"/>
        <w:rPr>
          <w:rFonts w:hint="eastAsia" w:ascii="黑体" w:hAnsi="宋体" w:eastAsia="黑体" w:cs="黑体"/>
          <w:color w:val="000000"/>
          <w:sz w:val="44"/>
          <w:szCs w:val="44"/>
        </w:rPr>
      </w:pPr>
    </w:p>
    <w:p w14:paraId="3E9ACB4E">
      <w:pPr>
        <w:pStyle w:val="13"/>
        <w:keepNext/>
        <w:spacing w:beforeAutospacing="0" w:afterAutospacing="0"/>
        <w:jc w:val="center"/>
        <w:rPr>
          <w:rFonts w:hint="eastAsia" w:ascii="黑体" w:hAnsi="宋体" w:eastAsia="黑体" w:cs="黑体"/>
          <w:color w:val="000000"/>
          <w:sz w:val="44"/>
          <w:szCs w:val="44"/>
        </w:rPr>
      </w:pPr>
    </w:p>
    <w:p w14:paraId="5C7CAB30">
      <w:pPr>
        <w:pStyle w:val="13"/>
        <w:keepNext/>
        <w:spacing w:beforeAutospacing="0" w:afterAutospacing="0"/>
        <w:jc w:val="center"/>
        <w:rPr>
          <w:rFonts w:hint="eastAsia" w:ascii="黑体" w:hAnsi="宋体" w:eastAsia="黑体" w:cs="黑体"/>
          <w:color w:val="000000"/>
          <w:sz w:val="44"/>
          <w:szCs w:val="44"/>
        </w:rPr>
      </w:pPr>
    </w:p>
    <w:p w14:paraId="7727CD61">
      <w:pPr>
        <w:pStyle w:val="13"/>
        <w:keepNext/>
        <w:spacing w:beforeAutospacing="0" w:afterAutospacing="0"/>
        <w:jc w:val="center"/>
        <w:rPr>
          <w:rFonts w:hint="eastAsia" w:ascii="黑体" w:hAnsi="宋体" w:eastAsia="黑体" w:cs="黑体"/>
          <w:color w:val="000000"/>
          <w:sz w:val="44"/>
          <w:szCs w:val="44"/>
        </w:rPr>
      </w:pPr>
    </w:p>
    <w:p w14:paraId="639807DB">
      <w:pPr>
        <w:pStyle w:val="13"/>
        <w:keepNext/>
        <w:spacing w:beforeAutospacing="0" w:afterAutospacing="0"/>
        <w:jc w:val="center"/>
        <w:rPr>
          <w:rFonts w:hint="eastAsia" w:ascii="黑体" w:hAnsi="宋体" w:eastAsia="黑体" w:cs="黑体"/>
          <w:color w:val="000000"/>
          <w:sz w:val="44"/>
          <w:szCs w:val="44"/>
        </w:rPr>
      </w:pPr>
    </w:p>
    <w:p w14:paraId="0C2FFD07">
      <w:pPr>
        <w:pStyle w:val="13"/>
        <w:keepNext/>
        <w:spacing w:beforeAutospacing="0" w:afterAutospacing="0"/>
        <w:jc w:val="center"/>
      </w:pPr>
      <w:r>
        <w:rPr>
          <w:rFonts w:hint="eastAsia" w:ascii="黑体" w:hAnsi="宋体" w:eastAsia="黑体" w:cs="黑体"/>
          <w:color w:val="000000"/>
          <w:sz w:val="44"/>
          <w:szCs w:val="44"/>
        </w:rPr>
        <w:t xml:space="preserve">第六章  投标文件格式 </w:t>
      </w:r>
    </w:p>
    <w:p w14:paraId="7A750559">
      <w:pPr>
        <w:pStyle w:val="13"/>
        <w:spacing w:beforeAutospacing="0" w:afterAutospacing="0"/>
        <w:jc w:val="center"/>
      </w:pPr>
      <w:bookmarkStart w:id="183" w:name="_Hlt26671244"/>
      <w:bookmarkEnd w:id="183"/>
      <w:bookmarkStart w:id="184" w:name="_Hlt26955039"/>
      <w:bookmarkEnd w:id="184"/>
      <w:bookmarkStart w:id="185" w:name="_Toc26554094"/>
      <w:bookmarkEnd w:id="185"/>
      <w:bookmarkStart w:id="186" w:name="_Toc49090576"/>
      <w:bookmarkStart w:id="187" w:name="_Toc120614282"/>
      <w:r>
        <w:rPr>
          <w:rFonts w:hint="eastAsia" w:ascii="宋体" w:hAnsi="宋体" w:eastAsia="宋体" w:cs="宋体"/>
          <w:b/>
          <w:color w:val="000000"/>
          <w:sz w:val="72"/>
          <w:szCs w:val="72"/>
        </w:rPr>
        <w:t>投  标  文  件</w:t>
      </w:r>
    </w:p>
    <w:p w14:paraId="20F36F33">
      <w:pPr>
        <w:pStyle w:val="13"/>
        <w:spacing w:beforeAutospacing="0" w:afterAutospacing="0"/>
        <w:jc w:val="center"/>
      </w:pPr>
      <w:r>
        <w:t> </w:t>
      </w:r>
    </w:p>
    <w:p w14:paraId="0C32FA06">
      <w:pPr>
        <w:pStyle w:val="13"/>
        <w:spacing w:beforeAutospacing="0" w:afterAutospacing="0"/>
        <w:jc w:val="center"/>
      </w:pPr>
      <w:r>
        <w:t> </w:t>
      </w:r>
    </w:p>
    <w:p w14:paraId="43711A62">
      <w:pPr>
        <w:pStyle w:val="13"/>
        <w:spacing w:beforeAutospacing="0" w:afterAutospacing="0"/>
        <w:jc w:val="center"/>
      </w:pPr>
      <w:r>
        <w:t> </w:t>
      </w:r>
    </w:p>
    <w:p w14:paraId="76AEBBCA">
      <w:pPr>
        <w:pStyle w:val="13"/>
        <w:spacing w:beforeAutospacing="0" w:afterAutospacing="0"/>
        <w:jc w:val="center"/>
      </w:pPr>
      <w:r>
        <w:t> </w:t>
      </w:r>
    </w:p>
    <w:p w14:paraId="742EEA64">
      <w:pPr>
        <w:pStyle w:val="13"/>
        <w:spacing w:beforeAutospacing="0" w:afterAutospacing="0"/>
        <w:jc w:val="center"/>
      </w:pPr>
      <w:r>
        <w:t> </w:t>
      </w:r>
    </w:p>
    <w:p w14:paraId="3204424C">
      <w:pPr>
        <w:pStyle w:val="13"/>
        <w:spacing w:beforeAutospacing="0" w:afterAutospacing="0"/>
        <w:ind w:firstLine="1084"/>
        <w:jc w:val="both"/>
      </w:pPr>
      <w:r>
        <w:rPr>
          <w:rFonts w:hint="eastAsia" w:ascii="宋体" w:hAnsi="宋体" w:eastAsia="宋体" w:cs="宋体"/>
          <w:b/>
          <w:color w:val="000000"/>
          <w:sz w:val="36"/>
          <w:szCs w:val="36"/>
        </w:rPr>
        <w:t>项目 名 称：</w:t>
      </w:r>
      <w:r>
        <w:rPr>
          <w:rFonts w:hint="eastAsia" w:ascii="宋体" w:hAnsi="宋体" w:eastAsia="宋体" w:cs="宋体"/>
          <w:b/>
          <w:color w:val="000000"/>
          <w:sz w:val="36"/>
          <w:szCs w:val="36"/>
          <w:u w:val="single"/>
        </w:rPr>
        <w:t xml:space="preserve">               </w:t>
      </w:r>
    </w:p>
    <w:p w14:paraId="61068593">
      <w:pPr>
        <w:pStyle w:val="13"/>
        <w:spacing w:beforeAutospacing="0" w:afterAutospacing="0"/>
        <w:ind w:firstLine="1084"/>
        <w:jc w:val="both"/>
      </w:pPr>
      <w:r>
        <w:rPr>
          <w:rFonts w:hint="eastAsia" w:ascii="宋体" w:hAnsi="宋体" w:eastAsia="宋体" w:cs="宋体"/>
          <w:b/>
          <w:color w:val="000000"/>
          <w:sz w:val="36"/>
          <w:szCs w:val="36"/>
        </w:rPr>
        <w:t>项目 编 号：</w:t>
      </w:r>
      <w:r>
        <w:rPr>
          <w:rFonts w:hint="eastAsia" w:ascii="宋体" w:hAnsi="宋体" w:eastAsia="宋体" w:cs="宋体"/>
          <w:b/>
          <w:color w:val="000000"/>
          <w:sz w:val="36"/>
          <w:szCs w:val="36"/>
          <w:u w:val="single"/>
        </w:rPr>
        <w:t xml:space="preserve">               </w:t>
      </w:r>
    </w:p>
    <w:p w14:paraId="44248FE9">
      <w:pPr>
        <w:pStyle w:val="13"/>
        <w:spacing w:beforeAutospacing="0" w:afterAutospacing="0"/>
        <w:jc w:val="both"/>
      </w:pPr>
      <w:r>
        <w:rPr>
          <w:rFonts w:hint="eastAsia" w:ascii="宋体" w:hAnsi="宋体" w:eastAsia="宋体" w:cs="宋体"/>
          <w:b/>
          <w:color w:val="000000"/>
          <w:sz w:val="36"/>
          <w:szCs w:val="36"/>
        </w:rPr>
        <w:t>   投标人名称 ：</w:t>
      </w:r>
      <w:r>
        <w:rPr>
          <w:rFonts w:hint="eastAsia" w:ascii="宋体" w:hAnsi="宋体" w:eastAsia="宋体" w:cs="宋体"/>
          <w:b/>
          <w:color w:val="000000"/>
          <w:sz w:val="36"/>
          <w:szCs w:val="36"/>
          <w:u w:val="single"/>
        </w:rPr>
        <w:t xml:space="preserve">（加盖CA电子公章）        </w:t>
      </w:r>
    </w:p>
    <w:p w14:paraId="02ADA47D">
      <w:pPr>
        <w:pStyle w:val="13"/>
        <w:spacing w:beforeAutospacing="0" w:afterAutospacing="0"/>
        <w:jc w:val="both"/>
      </w:pPr>
      <w:r>
        <w:rPr>
          <w:rFonts w:hint="eastAsia" w:ascii="宋体" w:hAnsi="宋体" w:eastAsia="宋体" w:cs="宋体"/>
          <w:b/>
          <w:color w:val="000000"/>
          <w:sz w:val="36"/>
          <w:szCs w:val="36"/>
        </w:rPr>
        <w:t>   日   期 ：</w:t>
      </w:r>
      <w:r>
        <w:rPr>
          <w:rFonts w:hint="eastAsia" w:ascii="宋体" w:hAnsi="宋体" w:eastAsia="宋体" w:cs="宋体"/>
          <w:b/>
          <w:color w:val="000000"/>
          <w:sz w:val="36"/>
          <w:szCs w:val="36"/>
          <w:u w:val="single"/>
        </w:rPr>
        <w:t>                     </w:t>
      </w:r>
    </w:p>
    <w:p w14:paraId="2E17D5B0">
      <w:pPr>
        <w:pStyle w:val="13"/>
        <w:spacing w:beforeAutospacing="0" w:afterAutospacing="0" w:line="0" w:lineRule="atLeast"/>
        <w:jc w:val="center"/>
      </w:pPr>
      <w:r>
        <w:t> </w:t>
      </w:r>
    </w:p>
    <w:p w14:paraId="7F3372B7">
      <w:pPr>
        <w:pStyle w:val="13"/>
        <w:spacing w:beforeAutospacing="0" w:afterAutospacing="0" w:line="0" w:lineRule="atLeast"/>
        <w:jc w:val="both"/>
      </w:pPr>
      <w:r>
        <w:t> </w:t>
      </w:r>
    </w:p>
    <w:p w14:paraId="30A4B19F">
      <w:pPr>
        <w:pStyle w:val="13"/>
        <w:spacing w:beforeAutospacing="0" w:afterAutospacing="0" w:line="0" w:lineRule="atLeast"/>
        <w:jc w:val="center"/>
        <w:rPr>
          <w:rFonts w:ascii="宋体" w:hAnsi="宋体" w:eastAsia="宋体" w:cs="宋体"/>
          <w:b/>
          <w:color w:val="000000"/>
          <w:sz w:val="36"/>
          <w:szCs w:val="36"/>
          <w:u w:val="single"/>
        </w:rPr>
      </w:pPr>
    </w:p>
    <w:p w14:paraId="28691E6D">
      <w:pPr>
        <w:pStyle w:val="13"/>
        <w:spacing w:beforeAutospacing="0" w:afterAutospacing="0" w:line="0" w:lineRule="atLeast"/>
        <w:jc w:val="center"/>
        <w:rPr>
          <w:rFonts w:ascii="宋体" w:hAnsi="宋体" w:eastAsia="宋体" w:cs="宋体"/>
          <w:b/>
          <w:color w:val="000000"/>
          <w:sz w:val="36"/>
          <w:szCs w:val="36"/>
          <w:u w:val="single"/>
        </w:rPr>
      </w:pPr>
    </w:p>
    <w:p w14:paraId="1E0DDA83">
      <w:pPr>
        <w:pStyle w:val="13"/>
        <w:spacing w:beforeAutospacing="0" w:afterAutospacing="0" w:line="0" w:lineRule="atLeast"/>
        <w:jc w:val="center"/>
        <w:rPr>
          <w:rFonts w:ascii="宋体" w:hAnsi="宋体" w:eastAsia="宋体" w:cs="宋体"/>
          <w:b/>
          <w:color w:val="000000"/>
          <w:sz w:val="36"/>
          <w:szCs w:val="36"/>
          <w:u w:val="single"/>
        </w:rPr>
      </w:pPr>
    </w:p>
    <w:p w14:paraId="57C43594">
      <w:pPr>
        <w:pStyle w:val="13"/>
        <w:spacing w:beforeAutospacing="0" w:afterAutospacing="0" w:line="0" w:lineRule="atLeast"/>
        <w:jc w:val="center"/>
        <w:rPr>
          <w:rFonts w:ascii="宋体" w:hAnsi="宋体" w:eastAsia="宋体" w:cs="宋体"/>
          <w:b/>
          <w:color w:val="000000"/>
          <w:sz w:val="36"/>
          <w:szCs w:val="36"/>
          <w:u w:val="single"/>
        </w:rPr>
      </w:pPr>
    </w:p>
    <w:p w14:paraId="2D87B453">
      <w:pPr>
        <w:pStyle w:val="13"/>
        <w:spacing w:beforeAutospacing="0" w:afterAutospacing="0" w:line="0" w:lineRule="atLeast"/>
        <w:jc w:val="center"/>
        <w:rPr>
          <w:rFonts w:ascii="宋体" w:hAnsi="宋体" w:eastAsia="宋体" w:cs="宋体"/>
          <w:b/>
          <w:color w:val="000000"/>
          <w:sz w:val="36"/>
          <w:szCs w:val="36"/>
          <w:u w:val="single"/>
        </w:rPr>
      </w:pPr>
    </w:p>
    <w:p w14:paraId="060D8BE1">
      <w:pPr>
        <w:pStyle w:val="13"/>
        <w:spacing w:beforeAutospacing="0" w:afterAutospacing="0" w:line="0" w:lineRule="atLeast"/>
        <w:jc w:val="center"/>
        <w:rPr>
          <w:rFonts w:ascii="宋体" w:hAnsi="宋体" w:eastAsia="宋体" w:cs="宋体"/>
          <w:b/>
          <w:color w:val="000000"/>
          <w:sz w:val="36"/>
          <w:szCs w:val="36"/>
          <w:u w:val="single"/>
        </w:rPr>
      </w:pPr>
    </w:p>
    <w:p w14:paraId="577D924C">
      <w:pPr>
        <w:pStyle w:val="13"/>
        <w:spacing w:beforeAutospacing="0" w:afterAutospacing="0" w:line="0" w:lineRule="atLeast"/>
        <w:jc w:val="center"/>
        <w:rPr>
          <w:rFonts w:ascii="宋体" w:hAnsi="宋体" w:eastAsia="宋体" w:cs="宋体"/>
          <w:b/>
          <w:color w:val="000000"/>
          <w:sz w:val="36"/>
          <w:szCs w:val="36"/>
          <w:u w:val="single"/>
        </w:rPr>
      </w:pPr>
    </w:p>
    <w:p w14:paraId="7FC33F86">
      <w:pPr>
        <w:pStyle w:val="13"/>
        <w:spacing w:beforeAutospacing="0" w:afterAutospacing="0" w:line="0" w:lineRule="atLeast"/>
        <w:jc w:val="center"/>
        <w:rPr>
          <w:rFonts w:ascii="宋体" w:hAnsi="宋体" w:eastAsia="宋体" w:cs="宋体"/>
          <w:b/>
          <w:color w:val="000000"/>
          <w:sz w:val="36"/>
          <w:szCs w:val="36"/>
          <w:u w:val="single"/>
        </w:rPr>
      </w:pPr>
    </w:p>
    <w:p w14:paraId="27D21717">
      <w:pPr>
        <w:pStyle w:val="13"/>
        <w:spacing w:beforeAutospacing="0" w:afterAutospacing="0" w:line="0" w:lineRule="atLeast"/>
        <w:jc w:val="center"/>
        <w:rPr>
          <w:rFonts w:ascii="宋体" w:hAnsi="宋体" w:eastAsia="宋体" w:cs="宋体"/>
          <w:b/>
          <w:color w:val="000000"/>
          <w:sz w:val="36"/>
          <w:szCs w:val="36"/>
          <w:u w:val="single"/>
        </w:rPr>
      </w:pPr>
    </w:p>
    <w:p w14:paraId="0F41C37D">
      <w:pPr>
        <w:pStyle w:val="13"/>
        <w:spacing w:beforeAutospacing="0" w:afterAutospacing="0" w:line="0" w:lineRule="atLeast"/>
        <w:jc w:val="center"/>
        <w:rPr>
          <w:rFonts w:ascii="宋体" w:hAnsi="宋体" w:eastAsia="宋体" w:cs="宋体"/>
          <w:b/>
          <w:color w:val="000000"/>
          <w:sz w:val="36"/>
          <w:szCs w:val="36"/>
          <w:u w:val="single"/>
        </w:rPr>
      </w:pPr>
    </w:p>
    <w:p w14:paraId="1C5209A5">
      <w:pPr>
        <w:pStyle w:val="13"/>
        <w:spacing w:beforeAutospacing="0" w:afterAutospacing="0" w:line="0" w:lineRule="atLeast"/>
        <w:jc w:val="center"/>
      </w:pPr>
      <w:r>
        <w:rPr>
          <w:rFonts w:hint="eastAsia" w:ascii="宋体" w:hAnsi="宋体" w:eastAsia="宋体" w:cs="宋体"/>
          <w:b/>
          <w:color w:val="000000"/>
          <w:sz w:val="32"/>
          <w:szCs w:val="32"/>
        </w:rPr>
        <w:t>投标文件目录</w:t>
      </w:r>
    </w:p>
    <w:p w14:paraId="6595A373">
      <w:pPr>
        <w:pStyle w:val="13"/>
        <w:spacing w:beforeAutospacing="0" w:afterAutospacing="0" w:line="0" w:lineRule="atLeast"/>
        <w:jc w:val="center"/>
      </w:pPr>
      <w:r>
        <w:t> </w:t>
      </w:r>
    </w:p>
    <w:p w14:paraId="568F4F26">
      <w:pPr>
        <w:pStyle w:val="13"/>
        <w:spacing w:beforeAutospacing="0" w:afterAutospacing="0"/>
        <w:ind w:left="480"/>
        <w:jc w:val="both"/>
        <w:rPr>
          <w:rFonts w:ascii="宋体" w:hAnsi="宋体" w:eastAsia="宋体" w:cs="宋体"/>
          <w:b w:val="0"/>
          <w:bCs w:val="0"/>
          <w:i/>
          <w:color w:val="000000"/>
          <w:u w:val="single"/>
        </w:rPr>
      </w:pPr>
      <w:r>
        <w:rPr>
          <w:rFonts w:hint="eastAsia" w:ascii="宋体" w:hAnsi="宋体" w:eastAsia="宋体" w:cs="宋体"/>
          <w:b w:val="0"/>
          <w:bCs w:val="0"/>
          <w:i/>
          <w:color w:val="000000"/>
          <w:u w:val="single"/>
        </w:rPr>
        <w:t>一、法人或者其他组织的营业执照等证明文件，自然人的身份证明</w:t>
      </w:r>
    </w:p>
    <w:p w14:paraId="4B4911B9">
      <w:pPr>
        <w:tabs>
          <w:tab w:val="left" w:pos="1331"/>
        </w:tabs>
        <w:ind w:firstLine="480" w:firstLineChars="200"/>
        <w:jc w:val="left"/>
        <w:rPr>
          <w:rFonts w:ascii="宋体" w:hAnsi="宋体" w:eastAsia="宋体" w:cs="宋体"/>
          <w:b w:val="0"/>
          <w:bCs w:val="0"/>
          <w:i/>
          <w:color w:val="000000"/>
          <w:kern w:val="0"/>
          <w:sz w:val="24"/>
          <w:u w:val="single"/>
        </w:rPr>
      </w:pPr>
      <w:r>
        <w:rPr>
          <w:rFonts w:hint="eastAsia" w:ascii="宋体" w:hAnsi="宋体" w:eastAsia="宋体" w:cs="宋体"/>
          <w:b w:val="0"/>
          <w:bCs w:val="0"/>
          <w:i/>
          <w:color w:val="000000"/>
          <w:kern w:val="0"/>
          <w:sz w:val="24"/>
          <w:u w:val="single"/>
        </w:rPr>
        <w:t>二、上一年度的财务状况报表（至少提供资产负债表、利润表、现金流量表，</w:t>
      </w:r>
    </w:p>
    <w:p w14:paraId="2AA5B5C5">
      <w:pPr>
        <w:pStyle w:val="13"/>
        <w:spacing w:beforeAutospacing="0" w:afterAutospacing="0"/>
        <w:ind w:left="480"/>
        <w:jc w:val="both"/>
        <w:rPr>
          <w:rFonts w:ascii="宋体" w:hAnsi="宋体" w:eastAsia="宋体" w:cs="宋体"/>
          <w:b w:val="0"/>
          <w:bCs w:val="0"/>
          <w:i/>
          <w:color w:val="000000"/>
          <w:u w:val="single"/>
        </w:rPr>
      </w:pPr>
      <w:r>
        <w:rPr>
          <w:rFonts w:hint="eastAsia" w:ascii="宋体" w:hAnsi="宋体" w:eastAsia="宋体" w:cs="宋体"/>
          <w:b w:val="0"/>
          <w:bCs w:val="0"/>
          <w:i/>
          <w:color w:val="000000"/>
          <w:u w:val="single"/>
        </w:rPr>
        <w:t>投标人成立不满一年无需提供）</w:t>
      </w:r>
    </w:p>
    <w:p w14:paraId="5797D289">
      <w:pPr>
        <w:pStyle w:val="13"/>
        <w:spacing w:beforeAutospacing="0" w:afterAutospacing="0"/>
        <w:ind w:left="480"/>
        <w:jc w:val="both"/>
        <w:rPr>
          <w:rFonts w:ascii="宋体" w:hAnsi="宋体" w:eastAsia="宋体" w:cs="宋体"/>
          <w:b w:val="0"/>
          <w:bCs w:val="0"/>
          <w:i/>
          <w:color w:val="000000"/>
          <w:u w:val="single"/>
        </w:rPr>
      </w:pPr>
      <w:r>
        <w:rPr>
          <w:rFonts w:hint="eastAsia" w:ascii="宋体" w:hAnsi="宋体" w:eastAsia="宋体" w:cs="宋体"/>
          <w:b w:val="0"/>
          <w:bCs w:val="0"/>
          <w:i/>
          <w:color w:val="000000"/>
          <w:u w:val="single"/>
        </w:rPr>
        <w:t>三、具备履行合同所必需的设备和专业技术能力的书面声明</w:t>
      </w:r>
    </w:p>
    <w:p w14:paraId="4C618427">
      <w:pPr>
        <w:pStyle w:val="13"/>
        <w:spacing w:beforeAutospacing="0" w:afterAutospacing="0"/>
        <w:ind w:left="480"/>
        <w:jc w:val="both"/>
        <w:rPr>
          <w:rFonts w:ascii="宋体" w:hAnsi="宋体" w:eastAsia="宋体" w:cs="宋体"/>
          <w:b w:val="0"/>
          <w:bCs w:val="0"/>
          <w:i/>
          <w:color w:val="000000"/>
          <w:u w:val="single"/>
        </w:rPr>
      </w:pPr>
      <w:r>
        <w:rPr>
          <w:rFonts w:hint="eastAsia" w:ascii="宋体" w:hAnsi="宋体" w:eastAsia="宋体" w:cs="宋体"/>
          <w:b w:val="0"/>
          <w:bCs w:val="0"/>
          <w:i/>
          <w:color w:val="000000"/>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49964AC2">
      <w:pPr>
        <w:pStyle w:val="13"/>
        <w:spacing w:beforeAutospacing="0" w:afterAutospacing="0"/>
        <w:ind w:left="480"/>
        <w:jc w:val="both"/>
        <w:rPr>
          <w:rFonts w:ascii="宋体" w:hAnsi="宋体" w:eastAsia="宋体" w:cs="宋体"/>
          <w:b w:val="0"/>
          <w:bCs w:val="0"/>
          <w:i/>
          <w:color w:val="000000"/>
          <w:u w:val="single"/>
        </w:rPr>
      </w:pPr>
      <w:r>
        <w:rPr>
          <w:rFonts w:hint="eastAsia" w:ascii="宋体" w:hAnsi="宋体" w:eastAsia="宋体" w:cs="宋体"/>
          <w:b w:val="0"/>
          <w:bCs w:val="0"/>
          <w:i/>
          <w:color w:val="000000"/>
          <w:u w:val="single"/>
        </w:rPr>
        <w:t>五、参加政府采购活动前 3 年内在经营活动中没有重大违法记录的书面声明</w:t>
      </w:r>
    </w:p>
    <w:p w14:paraId="40D628FD">
      <w:pPr>
        <w:pStyle w:val="13"/>
        <w:spacing w:beforeAutospacing="0" w:afterAutospacing="0"/>
        <w:ind w:left="480"/>
        <w:jc w:val="both"/>
        <w:rPr>
          <w:rFonts w:ascii="宋体" w:hAnsi="宋体" w:eastAsia="宋体" w:cs="宋体"/>
          <w:b w:val="0"/>
          <w:bCs w:val="0"/>
          <w:i/>
          <w:color w:val="000000"/>
          <w:u w:val="single"/>
        </w:rPr>
      </w:pPr>
      <w:r>
        <w:rPr>
          <w:rFonts w:hint="eastAsia" w:ascii="宋体" w:hAnsi="宋体" w:eastAsia="宋体" w:cs="宋体"/>
          <w:b w:val="0"/>
          <w:bCs w:val="0"/>
          <w:i/>
          <w:color w:val="000000"/>
          <w:u w:val="single"/>
        </w:rPr>
        <w:t>六、特定资格要求的证明文件（如果本项目设置特定资格要求，则需要提供）</w:t>
      </w:r>
    </w:p>
    <w:p w14:paraId="103A3632">
      <w:pPr>
        <w:pStyle w:val="13"/>
        <w:spacing w:beforeAutospacing="0" w:afterAutospacing="0"/>
        <w:ind w:left="480"/>
        <w:jc w:val="both"/>
        <w:rPr>
          <w:rFonts w:ascii="宋体" w:hAnsi="宋体" w:eastAsia="宋体" w:cs="宋体"/>
          <w:b w:val="0"/>
          <w:bCs w:val="0"/>
          <w:i/>
          <w:color w:val="000000"/>
          <w:u w:val="single"/>
        </w:rPr>
      </w:pPr>
      <w:r>
        <w:rPr>
          <w:rFonts w:hint="eastAsia" w:ascii="宋体" w:hAnsi="宋体" w:eastAsia="宋体" w:cs="宋体"/>
          <w:b w:val="0"/>
          <w:bCs w:val="0"/>
          <w:i/>
          <w:color w:val="000000"/>
          <w:u w:val="single"/>
        </w:rPr>
        <w:t>七、法人授权书</w:t>
      </w:r>
    </w:p>
    <w:p w14:paraId="43136751">
      <w:pPr>
        <w:pStyle w:val="13"/>
        <w:spacing w:beforeAutospacing="0" w:afterAutospacing="0"/>
        <w:ind w:left="480"/>
        <w:jc w:val="both"/>
        <w:rPr>
          <w:rFonts w:ascii="宋体" w:hAnsi="宋体" w:eastAsia="宋体" w:cs="宋体"/>
          <w:b w:val="0"/>
          <w:bCs w:val="0"/>
          <w:i/>
          <w:color w:val="000000"/>
          <w:u w:val="single"/>
        </w:rPr>
      </w:pPr>
      <w:r>
        <w:rPr>
          <w:rFonts w:hint="eastAsia" w:ascii="宋体" w:hAnsi="宋体" w:eastAsia="宋体" w:cs="宋体"/>
          <w:b w:val="0"/>
          <w:bCs w:val="0"/>
          <w:i/>
          <w:color w:val="000000"/>
          <w:u w:val="single"/>
        </w:rPr>
        <w:t>八、投标函</w:t>
      </w:r>
    </w:p>
    <w:p w14:paraId="344FCCB6">
      <w:pPr>
        <w:pStyle w:val="13"/>
        <w:spacing w:beforeAutospacing="0" w:afterAutospacing="0"/>
        <w:ind w:left="480"/>
        <w:jc w:val="both"/>
        <w:rPr>
          <w:rFonts w:ascii="宋体" w:hAnsi="宋体" w:eastAsia="宋体" w:cs="宋体"/>
          <w:b w:val="0"/>
          <w:bCs w:val="0"/>
          <w:i/>
          <w:color w:val="000000"/>
          <w:u w:val="single"/>
        </w:rPr>
      </w:pPr>
      <w:r>
        <w:rPr>
          <w:rFonts w:hint="eastAsia" w:ascii="宋体" w:hAnsi="宋体" w:eastAsia="宋体" w:cs="宋体"/>
          <w:b w:val="0"/>
          <w:bCs w:val="0"/>
          <w:i/>
          <w:color w:val="000000"/>
          <w:u w:val="single"/>
        </w:rPr>
        <w:t>九、中小企业声明函</w:t>
      </w:r>
    </w:p>
    <w:p w14:paraId="30A47C76">
      <w:pPr>
        <w:pStyle w:val="13"/>
        <w:spacing w:beforeAutospacing="0" w:afterAutospacing="0"/>
        <w:ind w:left="480"/>
        <w:jc w:val="both"/>
        <w:rPr>
          <w:rFonts w:ascii="宋体" w:hAnsi="宋体" w:eastAsia="宋体" w:cs="宋体"/>
          <w:b w:val="0"/>
          <w:bCs w:val="0"/>
          <w:i/>
          <w:color w:val="000000"/>
          <w:u w:val="single"/>
        </w:rPr>
      </w:pPr>
      <w:r>
        <w:rPr>
          <w:rFonts w:hint="eastAsia" w:ascii="宋体" w:hAnsi="宋体" w:eastAsia="宋体" w:cs="宋体"/>
          <w:b w:val="0"/>
          <w:bCs w:val="0"/>
          <w:i/>
          <w:color w:val="000000"/>
          <w:u w:val="single"/>
        </w:rPr>
        <w:t>十、残疾人福利性单位声明函</w:t>
      </w:r>
    </w:p>
    <w:p w14:paraId="531F2EA4">
      <w:pPr>
        <w:pStyle w:val="13"/>
        <w:spacing w:beforeAutospacing="0" w:afterAutospacing="0" w:line="0" w:lineRule="atLeast"/>
        <w:ind w:firstLine="480"/>
        <w:jc w:val="both"/>
        <w:rPr>
          <w:rFonts w:ascii="宋体" w:hAnsi="宋体" w:eastAsia="宋体" w:cs="宋体"/>
          <w:b w:val="0"/>
          <w:bCs w:val="0"/>
          <w:i/>
          <w:color w:val="000000"/>
          <w:u w:val="single"/>
        </w:rPr>
      </w:pPr>
      <w:r>
        <w:rPr>
          <w:rFonts w:hint="eastAsia" w:ascii="宋体" w:hAnsi="宋体" w:eastAsia="宋体" w:cs="宋体"/>
          <w:b w:val="0"/>
          <w:bCs w:val="0"/>
          <w:i/>
          <w:color w:val="000000"/>
          <w:u w:val="single"/>
        </w:rPr>
        <w:t>十一、资格性审查响应对照表</w:t>
      </w:r>
    </w:p>
    <w:p w14:paraId="61884396">
      <w:pPr>
        <w:pStyle w:val="13"/>
        <w:spacing w:beforeAutospacing="0" w:afterAutospacing="0" w:line="0" w:lineRule="atLeast"/>
        <w:ind w:firstLine="480"/>
        <w:jc w:val="both"/>
        <w:rPr>
          <w:rFonts w:ascii="宋体" w:hAnsi="宋体" w:eastAsia="宋体" w:cs="宋体"/>
          <w:b w:val="0"/>
          <w:bCs w:val="0"/>
          <w:i/>
          <w:color w:val="000000"/>
          <w:u w:val="single"/>
        </w:rPr>
      </w:pPr>
      <w:r>
        <w:rPr>
          <w:rFonts w:hint="eastAsia" w:ascii="宋体" w:hAnsi="宋体" w:eastAsia="宋体" w:cs="宋体"/>
          <w:b w:val="0"/>
          <w:bCs w:val="0"/>
          <w:i/>
          <w:color w:val="000000"/>
          <w:u w:val="single"/>
        </w:rPr>
        <w:t>十二、符合性检查响应对照表</w:t>
      </w:r>
    </w:p>
    <w:p w14:paraId="4B990EB4">
      <w:pPr>
        <w:pStyle w:val="13"/>
        <w:spacing w:beforeAutospacing="0" w:afterAutospacing="0"/>
        <w:ind w:left="480"/>
        <w:jc w:val="both"/>
        <w:rPr>
          <w:rFonts w:ascii="宋体" w:hAnsi="宋体" w:eastAsia="宋体" w:cs="宋体"/>
          <w:b w:val="0"/>
          <w:bCs w:val="0"/>
          <w:i/>
          <w:color w:val="000000"/>
          <w:u w:val="single"/>
        </w:rPr>
      </w:pPr>
      <w:r>
        <w:rPr>
          <w:rFonts w:hint="eastAsia" w:ascii="宋体" w:hAnsi="宋体" w:eastAsia="宋体" w:cs="宋体"/>
          <w:b w:val="0"/>
          <w:bCs w:val="0"/>
          <w:i/>
          <w:color w:val="000000"/>
          <w:u w:val="single"/>
        </w:rPr>
        <w:t>十三、开标一览表</w:t>
      </w:r>
    </w:p>
    <w:p w14:paraId="6906FFBA">
      <w:pPr>
        <w:pStyle w:val="13"/>
        <w:spacing w:beforeAutospacing="0" w:afterAutospacing="0" w:line="0" w:lineRule="atLeast"/>
        <w:ind w:firstLine="480"/>
        <w:jc w:val="both"/>
        <w:rPr>
          <w:rFonts w:ascii="宋体" w:hAnsi="宋体" w:eastAsia="宋体" w:cs="宋体"/>
          <w:b w:val="0"/>
          <w:bCs w:val="0"/>
          <w:color w:val="000000"/>
        </w:rPr>
      </w:pPr>
      <w:r>
        <w:rPr>
          <w:rFonts w:hint="eastAsia" w:ascii="宋体" w:hAnsi="宋体" w:eastAsia="宋体" w:cs="宋体"/>
          <w:b w:val="0"/>
          <w:bCs w:val="0"/>
          <w:color w:val="000000"/>
        </w:rPr>
        <w:t>十四、技术服务方案等</w:t>
      </w:r>
    </w:p>
    <w:p w14:paraId="285B99E4">
      <w:pPr>
        <w:pStyle w:val="13"/>
        <w:spacing w:beforeAutospacing="0" w:afterAutospacing="0" w:line="0" w:lineRule="atLeast"/>
        <w:ind w:firstLine="480"/>
        <w:jc w:val="both"/>
        <w:rPr>
          <w:rFonts w:ascii="宋体" w:hAnsi="宋体" w:eastAsia="宋体" w:cs="宋体"/>
          <w:b w:val="0"/>
          <w:bCs w:val="0"/>
          <w:i/>
          <w:color w:val="000000"/>
          <w:u w:val="single"/>
        </w:rPr>
      </w:pPr>
      <w:r>
        <w:rPr>
          <w:rFonts w:hint="eastAsia" w:ascii="宋体" w:hAnsi="宋体" w:eastAsia="宋体" w:cs="宋体"/>
          <w:b w:val="0"/>
          <w:bCs w:val="0"/>
          <w:i/>
          <w:color w:val="000000"/>
          <w:u w:val="single"/>
        </w:rPr>
        <w:t>十</w:t>
      </w:r>
      <w:r>
        <w:rPr>
          <w:rFonts w:hint="eastAsia" w:ascii="宋体" w:hAnsi="宋体" w:eastAsia="宋体" w:cs="宋体"/>
          <w:b w:val="0"/>
          <w:bCs w:val="0"/>
          <w:i/>
          <w:color w:val="000000"/>
          <w:u w:val="single"/>
          <w:lang w:val="en-US" w:eastAsia="zh-CN"/>
        </w:rPr>
        <w:t>五</w:t>
      </w:r>
      <w:r>
        <w:rPr>
          <w:rFonts w:hint="eastAsia" w:ascii="宋体" w:hAnsi="宋体" w:eastAsia="宋体" w:cs="宋体"/>
          <w:b w:val="0"/>
          <w:bCs w:val="0"/>
          <w:i/>
          <w:color w:val="000000"/>
          <w:u w:val="single"/>
        </w:rPr>
        <w:t>、盐城市政府采购事前信用承诺书</w:t>
      </w:r>
    </w:p>
    <w:p w14:paraId="175547E5">
      <w:pPr>
        <w:pStyle w:val="13"/>
        <w:spacing w:beforeAutospacing="0" w:afterAutospacing="0" w:line="0" w:lineRule="atLeast"/>
        <w:ind w:firstLine="480"/>
        <w:jc w:val="both"/>
        <w:rPr>
          <w:rFonts w:ascii="宋体" w:hAnsi="宋体" w:eastAsia="宋体" w:cs="宋体"/>
          <w:color w:val="000000"/>
        </w:rPr>
      </w:pPr>
    </w:p>
    <w:p w14:paraId="63B84788">
      <w:pPr>
        <w:pStyle w:val="13"/>
        <w:spacing w:beforeAutospacing="0" w:afterAutospacing="0"/>
        <w:jc w:val="both"/>
        <w:rPr>
          <w:rFonts w:ascii="黑体" w:hAnsi="宋体" w:eastAsia="黑体" w:cs="黑体"/>
          <w:i/>
          <w:color w:val="000000"/>
          <w:sz w:val="32"/>
          <w:szCs w:val="32"/>
          <w:u w:val="single"/>
        </w:rPr>
      </w:pPr>
    </w:p>
    <w:p w14:paraId="6069C491">
      <w:pPr>
        <w:pStyle w:val="13"/>
        <w:spacing w:beforeAutospacing="0" w:afterAutospacing="0"/>
        <w:jc w:val="both"/>
        <w:rPr>
          <w:rFonts w:ascii="黑体" w:hAnsi="宋体" w:eastAsia="黑体" w:cs="黑体"/>
          <w:i/>
          <w:color w:val="000000"/>
          <w:sz w:val="32"/>
          <w:szCs w:val="32"/>
          <w:u w:val="single"/>
        </w:rPr>
      </w:pPr>
    </w:p>
    <w:p w14:paraId="2F4711C2">
      <w:pPr>
        <w:pStyle w:val="13"/>
        <w:spacing w:beforeAutospacing="0" w:afterAutospacing="0"/>
        <w:jc w:val="both"/>
        <w:rPr>
          <w:rFonts w:ascii="黑体" w:hAnsi="宋体" w:eastAsia="黑体" w:cs="黑体"/>
          <w:i/>
          <w:color w:val="000000"/>
          <w:sz w:val="32"/>
          <w:szCs w:val="32"/>
          <w:u w:val="single"/>
        </w:rPr>
      </w:pPr>
    </w:p>
    <w:p w14:paraId="5E2D6AB7">
      <w:pPr>
        <w:pStyle w:val="13"/>
        <w:spacing w:beforeAutospacing="0" w:afterAutospacing="0"/>
        <w:jc w:val="both"/>
        <w:rPr>
          <w:rFonts w:ascii="黑体" w:hAnsi="宋体" w:eastAsia="黑体" w:cs="黑体"/>
          <w:i/>
          <w:color w:val="000000"/>
          <w:sz w:val="32"/>
          <w:szCs w:val="32"/>
          <w:u w:val="single"/>
        </w:rPr>
      </w:pPr>
    </w:p>
    <w:p w14:paraId="6582EAD9">
      <w:pPr>
        <w:pStyle w:val="13"/>
        <w:spacing w:beforeAutospacing="0" w:afterAutospacing="0"/>
        <w:jc w:val="both"/>
        <w:rPr>
          <w:rFonts w:ascii="黑体" w:hAnsi="宋体" w:eastAsia="黑体" w:cs="黑体"/>
          <w:i/>
          <w:color w:val="000000"/>
          <w:sz w:val="32"/>
          <w:szCs w:val="32"/>
          <w:u w:val="single"/>
        </w:rPr>
      </w:pPr>
    </w:p>
    <w:p w14:paraId="0BDC3B9E">
      <w:pPr>
        <w:pStyle w:val="13"/>
        <w:spacing w:beforeAutospacing="0" w:afterAutospacing="0"/>
        <w:jc w:val="both"/>
        <w:rPr>
          <w:rFonts w:ascii="黑体" w:hAnsi="宋体" w:eastAsia="黑体" w:cs="黑体"/>
          <w:i/>
          <w:color w:val="000000"/>
          <w:sz w:val="32"/>
          <w:szCs w:val="32"/>
          <w:u w:val="single"/>
        </w:rPr>
      </w:pPr>
    </w:p>
    <w:p w14:paraId="432035D6">
      <w:pPr>
        <w:pStyle w:val="13"/>
        <w:spacing w:beforeAutospacing="0" w:afterAutospacing="0"/>
        <w:jc w:val="both"/>
        <w:rPr>
          <w:rFonts w:ascii="黑体" w:hAnsi="宋体" w:eastAsia="黑体" w:cs="黑体"/>
          <w:i/>
          <w:color w:val="000000"/>
          <w:sz w:val="32"/>
          <w:szCs w:val="32"/>
          <w:u w:val="single"/>
        </w:rPr>
      </w:pPr>
    </w:p>
    <w:p w14:paraId="285AD7E7">
      <w:pPr>
        <w:pStyle w:val="13"/>
        <w:spacing w:beforeAutospacing="0" w:afterAutospacing="0"/>
        <w:jc w:val="both"/>
        <w:rPr>
          <w:rFonts w:ascii="黑体" w:hAnsi="宋体" w:eastAsia="黑体" w:cs="黑体"/>
          <w:i/>
          <w:color w:val="000000"/>
          <w:sz w:val="32"/>
          <w:szCs w:val="32"/>
          <w:u w:val="single"/>
        </w:rPr>
      </w:pPr>
    </w:p>
    <w:p w14:paraId="74EF7CEF">
      <w:pPr>
        <w:pStyle w:val="13"/>
        <w:spacing w:beforeAutospacing="0" w:afterAutospacing="0"/>
        <w:jc w:val="both"/>
        <w:rPr>
          <w:rFonts w:ascii="黑体" w:hAnsi="宋体" w:eastAsia="黑体" w:cs="黑体"/>
          <w:i/>
          <w:color w:val="000000"/>
          <w:sz w:val="32"/>
          <w:szCs w:val="32"/>
          <w:u w:val="single"/>
        </w:rPr>
      </w:pPr>
    </w:p>
    <w:p w14:paraId="60846277">
      <w:pPr>
        <w:pStyle w:val="13"/>
        <w:spacing w:beforeAutospacing="0" w:afterAutospacing="0"/>
        <w:jc w:val="both"/>
        <w:rPr>
          <w:rFonts w:ascii="黑体" w:hAnsi="宋体" w:eastAsia="黑体" w:cs="黑体"/>
          <w:i/>
          <w:color w:val="000000"/>
          <w:sz w:val="32"/>
          <w:szCs w:val="32"/>
          <w:u w:val="single"/>
        </w:rPr>
      </w:pPr>
    </w:p>
    <w:p w14:paraId="3D4544B0">
      <w:pPr>
        <w:pStyle w:val="13"/>
        <w:spacing w:beforeAutospacing="0" w:afterAutospacing="0"/>
        <w:jc w:val="both"/>
      </w:pPr>
      <w:r>
        <w:rPr>
          <w:rFonts w:hint="eastAsia" w:ascii="黑体" w:hAnsi="宋体" w:eastAsia="黑体" w:cs="黑体"/>
          <w:i/>
          <w:color w:val="000000"/>
          <w:sz w:val="32"/>
          <w:szCs w:val="32"/>
          <w:u w:val="single"/>
        </w:rPr>
        <w:t>一、法人或者其他组织的营业执照等证明文件，自然人的身份证明</w:t>
      </w:r>
    </w:p>
    <w:p w14:paraId="500F11F2">
      <w:pPr>
        <w:pStyle w:val="13"/>
        <w:spacing w:beforeAutospacing="0" w:afterAutospacing="0" w:line="0" w:lineRule="atLeast"/>
        <w:ind w:firstLine="480"/>
        <w:jc w:val="both"/>
      </w:pPr>
      <w:r>
        <w:t> </w:t>
      </w:r>
    </w:p>
    <w:p w14:paraId="2C9ACF23">
      <w:pPr>
        <w:pStyle w:val="13"/>
        <w:spacing w:beforeAutospacing="0" w:afterAutospacing="0"/>
        <w:jc w:val="both"/>
        <w:rPr>
          <w:rFonts w:eastAsia="黑体"/>
          <w:highlight w:val="red"/>
        </w:rPr>
      </w:pPr>
      <w:r>
        <w:rPr>
          <w:rFonts w:hint="eastAsia" w:ascii="黑体" w:hAnsi="宋体" w:eastAsia="黑体" w:cs="黑体"/>
          <w:i/>
          <w:color w:val="000000"/>
          <w:sz w:val="32"/>
          <w:szCs w:val="32"/>
          <w:u w:val="single"/>
        </w:rPr>
        <w:t>二、上一年度的财务状况报表</w:t>
      </w:r>
    </w:p>
    <w:p w14:paraId="127EBCCC">
      <w:pPr>
        <w:pStyle w:val="13"/>
        <w:spacing w:beforeAutospacing="0" w:afterAutospacing="0" w:line="0" w:lineRule="atLeast"/>
        <w:ind w:firstLine="480"/>
        <w:jc w:val="both"/>
      </w:pPr>
      <w:r>
        <w:rPr>
          <w:rFonts w:hint="eastAsia" w:ascii="宋体" w:hAnsi="宋体" w:eastAsia="宋体" w:cs="宋体"/>
          <w:color w:val="000000"/>
        </w:rPr>
        <w:t>投标人成立不满一年不需提供</w:t>
      </w:r>
    </w:p>
    <w:p w14:paraId="2898602F">
      <w:pPr>
        <w:pStyle w:val="13"/>
        <w:spacing w:beforeAutospacing="0" w:afterAutospacing="0"/>
        <w:jc w:val="both"/>
      </w:pPr>
      <w:r>
        <w:t> </w:t>
      </w:r>
    </w:p>
    <w:p w14:paraId="7B0BAD0C">
      <w:pPr>
        <w:pStyle w:val="13"/>
        <w:spacing w:beforeAutospacing="0" w:afterAutospacing="0"/>
        <w:jc w:val="both"/>
      </w:pPr>
      <w:r>
        <w:t> </w:t>
      </w:r>
    </w:p>
    <w:p w14:paraId="2E84D64F">
      <w:pPr>
        <w:pStyle w:val="13"/>
        <w:spacing w:beforeAutospacing="0" w:afterAutospacing="0"/>
        <w:jc w:val="both"/>
      </w:pPr>
      <w:r>
        <w:rPr>
          <w:rFonts w:hint="eastAsia" w:ascii="黑体" w:hAnsi="宋体" w:eastAsia="黑体" w:cs="黑体"/>
          <w:i/>
          <w:color w:val="000000"/>
          <w:sz w:val="32"/>
          <w:szCs w:val="32"/>
          <w:u w:val="single"/>
        </w:rPr>
        <w:t>三、具备履行合同所必需的设备和专业技术能力的书面声明</w:t>
      </w:r>
    </w:p>
    <w:p w14:paraId="077E6595">
      <w:pPr>
        <w:pStyle w:val="13"/>
        <w:spacing w:beforeAutospacing="0" w:afterAutospacing="0" w:line="0" w:lineRule="atLeast"/>
        <w:ind w:firstLine="492"/>
        <w:jc w:val="both"/>
      </w:pPr>
      <w:r>
        <w:rPr>
          <w:rFonts w:hint="eastAsia" w:ascii="宋体" w:hAnsi="宋体" w:eastAsia="宋体" w:cs="宋体"/>
          <w:color w:val="000000"/>
        </w:rPr>
        <w:t>我单位郑重声明：我单位具备履行本项采购合同所必需的设备和专业技术能力，为履行本项采购合同我公司具备如下主要设备和主要专业技术能力：</w:t>
      </w:r>
    </w:p>
    <w:p w14:paraId="4109ECA5">
      <w:pPr>
        <w:pStyle w:val="13"/>
        <w:spacing w:beforeAutospacing="0" w:afterAutospacing="0" w:line="0" w:lineRule="atLeast"/>
        <w:ind w:firstLine="492"/>
        <w:jc w:val="both"/>
      </w:pPr>
      <w:r>
        <w:rPr>
          <w:rFonts w:hint="eastAsia" w:ascii="宋体" w:hAnsi="宋体" w:eastAsia="宋体" w:cs="宋体"/>
          <w:color w:val="000000"/>
        </w:rPr>
        <w:t>主要设备有：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4F320683">
      <w:pPr>
        <w:pStyle w:val="13"/>
        <w:spacing w:beforeAutospacing="0" w:afterAutospacing="0"/>
        <w:jc w:val="both"/>
        <w:rPr>
          <w:rFonts w:ascii="宋体" w:hAnsi="宋体" w:eastAsia="宋体" w:cs="宋体"/>
          <w:color w:val="000000"/>
        </w:rPr>
      </w:pPr>
      <w:r>
        <w:rPr>
          <w:rFonts w:hint="eastAsia" w:ascii="宋体" w:hAnsi="宋体" w:eastAsia="宋体" w:cs="宋体"/>
          <w:color w:val="000000"/>
        </w:rPr>
        <w:t>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w:t>
      </w:r>
    </w:p>
    <w:p w14:paraId="4148B375">
      <w:pPr>
        <w:pStyle w:val="13"/>
        <w:spacing w:beforeAutospacing="0" w:afterAutospacing="0"/>
        <w:jc w:val="both"/>
      </w:pPr>
      <w:r>
        <w:rPr>
          <w:rFonts w:hint="eastAsia" w:ascii="黑体" w:hAnsi="宋体" w:eastAsia="黑体" w:cs="黑体"/>
          <w:i/>
          <w:color w:val="000000"/>
          <w:sz w:val="32"/>
          <w:szCs w:val="32"/>
          <w:u w:val="single"/>
        </w:rPr>
        <w:t>四、依法缴纳税收和社会保障资金的相关材料</w:t>
      </w:r>
    </w:p>
    <w:p w14:paraId="21A556C5">
      <w:pPr>
        <w:pStyle w:val="13"/>
        <w:spacing w:beforeAutospacing="0" w:afterAutospacing="0"/>
        <w:ind w:firstLine="480"/>
        <w:jc w:val="both"/>
      </w:pPr>
      <w:bookmarkStart w:id="188" w:name="_Toc120614284"/>
      <w:r>
        <w:rPr>
          <w:rFonts w:hint="eastAsia" w:ascii="宋体" w:hAnsi="宋体" w:eastAsia="宋体" w:cs="宋体"/>
          <w:color w:val="000000"/>
        </w:rPr>
        <w:t>提供提交投标文件截止时间前一年内至少一个月依法缴纳税收及缴纳社会保障资金的证明材料。投标人依法享受缓缴、免缴税收、社会保障资金的提供证明材料。</w:t>
      </w:r>
      <w:bookmarkEnd w:id="188"/>
    </w:p>
    <w:p w14:paraId="7E7FDC13">
      <w:pPr>
        <w:pStyle w:val="13"/>
        <w:spacing w:beforeAutospacing="0" w:afterAutospacing="0"/>
        <w:jc w:val="both"/>
      </w:pPr>
      <w:r>
        <w:rPr>
          <w:rFonts w:hint="eastAsia" w:ascii="黑体" w:hAnsi="宋体" w:eastAsia="黑体" w:cs="黑体"/>
          <w:i/>
          <w:color w:val="000000"/>
          <w:sz w:val="32"/>
          <w:szCs w:val="32"/>
          <w:u w:val="single"/>
        </w:rPr>
        <w:t>五、参加政府采购活动前 3 年内在经营活动中没有重大违法记录的书面声明</w:t>
      </w:r>
    </w:p>
    <w:p w14:paraId="729650AE">
      <w:pPr>
        <w:pStyle w:val="13"/>
        <w:spacing w:beforeAutospacing="0" w:afterAutospacing="0" w:line="0" w:lineRule="atLeast"/>
        <w:jc w:val="both"/>
      </w:pPr>
      <w:r>
        <w:rPr>
          <w:rFonts w:hint="eastAsia" w:ascii="宋体" w:hAnsi="宋体" w:eastAsia="宋体" w:cs="宋体"/>
          <w:b/>
          <w:color w:val="000000"/>
          <w:sz w:val="44"/>
          <w:szCs w:val="44"/>
        </w:rPr>
        <w:t>       声  明</w:t>
      </w:r>
    </w:p>
    <w:p w14:paraId="7F470C75">
      <w:pPr>
        <w:pStyle w:val="13"/>
        <w:spacing w:beforeAutospacing="0" w:afterAutospacing="0" w:line="0" w:lineRule="atLeast"/>
        <w:jc w:val="both"/>
      </w:pPr>
      <w:r>
        <w:rPr>
          <w:rFonts w:hint="eastAsia" w:ascii="宋体" w:hAnsi="宋体" w:eastAsia="宋体" w:cs="宋体"/>
          <w:b/>
          <w:color w:val="000000"/>
        </w:rPr>
        <w:t xml:space="preserve">    </w:t>
      </w:r>
      <w:r>
        <w:rPr>
          <w:rFonts w:hint="eastAsia" w:ascii="宋体" w:hAnsi="宋体" w:eastAsia="宋体" w:cs="宋体"/>
          <w:color w:val="000000"/>
        </w:rPr>
        <w:t>我单位郑重声明：参加本次政府采购活动前 3 年内，我单位在经营活动中没有因违法经营受到刑事处罚或者责令停产停业、吊销许可证或者执照、较大数额罚款等行政处罚。</w:t>
      </w:r>
    </w:p>
    <w:p w14:paraId="02F70F59">
      <w:pPr>
        <w:pStyle w:val="13"/>
        <w:spacing w:beforeAutospacing="0" w:afterAutospacing="0"/>
        <w:jc w:val="both"/>
      </w:pPr>
      <w:r>
        <w:t> </w:t>
      </w:r>
    </w:p>
    <w:p w14:paraId="6E4270C8">
      <w:pPr>
        <w:pStyle w:val="13"/>
        <w:spacing w:beforeAutospacing="0" w:afterAutospacing="0"/>
        <w:jc w:val="both"/>
      </w:pPr>
      <w:r>
        <w:rPr>
          <w:rFonts w:hint="eastAsia" w:ascii="黑体" w:hAnsi="宋体" w:eastAsia="黑体" w:cs="黑体"/>
          <w:i/>
          <w:color w:val="000000"/>
          <w:sz w:val="32"/>
          <w:szCs w:val="32"/>
          <w:u w:val="single"/>
        </w:rPr>
        <w:t>六、特定资格要求的证明文件</w:t>
      </w:r>
    </w:p>
    <w:p w14:paraId="5DAED709">
      <w:pPr>
        <w:pStyle w:val="13"/>
        <w:spacing w:beforeAutospacing="0" w:afterAutospacing="0" w:line="0" w:lineRule="atLeast"/>
        <w:jc w:val="both"/>
      </w:pPr>
      <w:r>
        <w:rPr>
          <w:rFonts w:hint="eastAsia" w:ascii="宋体" w:hAnsi="宋体" w:eastAsia="宋体" w:cs="宋体"/>
          <w:color w:val="000000"/>
        </w:rPr>
        <w:t>    如果本项目申请人的特定资格要求中要求提供的，必须提供。</w:t>
      </w:r>
    </w:p>
    <w:p w14:paraId="1DED43A4">
      <w:pPr>
        <w:pStyle w:val="13"/>
        <w:spacing w:beforeAutospacing="0" w:afterAutospacing="0" w:line="0" w:lineRule="atLeast"/>
        <w:jc w:val="both"/>
      </w:pPr>
      <w:r>
        <w:t> </w:t>
      </w:r>
    </w:p>
    <w:p w14:paraId="310EA000">
      <w:pPr>
        <w:pStyle w:val="13"/>
        <w:spacing w:beforeAutospacing="0" w:afterAutospacing="0"/>
        <w:jc w:val="center"/>
        <w:rPr>
          <w:rFonts w:ascii="黑体" w:hAnsi="宋体" w:eastAsia="黑体" w:cs="黑体"/>
          <w:i/>
          <w:color w:val="000000"/>
          <w:sz w:val="32"/>
          <w:szCs w:val="32"/>
          <w:u w:val="single"/>
        </w:rPr>
      </w:pPr>
    </w:p>
    <w:p w14:paraId="2D5AD861">
      <w:pPr>
        <w:pStyle w:val="13"/>
        <w:spacing w:beforeAutospacing="0" w:afterAutospacing="0"/>
        <w:jc w:val="center"/>
        <w:rPr>
          <w:rFonts w:ascii="黑体" w:hAnsi="宋体" w:eastAsia="黑体" w:cs="黑体"/>
          <w:i/>
          <w:color w:val="000000"/>
          <w:sz w:val="32"/>
          <w:szCs w:val="32"/>
          <w:u w:val="single"/>
        </w:rPr>
      </w:pPr>
    </w:p>
    <w:p w14:paraId="26CE6075">
      <w:pPr>
        <w:pStyle w:val="13"/>
        <w:spacing w:beforeAutospacing="0" w:afterAutospacing="0"/>
        <w:jc w:val="center"/>
        <w:rPr>
          <w:rFonts w:ascii="黑体" w:hAnsi="宋体" w:eastAsia="黑体" w:cs="黑体"/>
          <w:i/>
          <w:color w:val="000000"/>
          <w:sz w:val="32"/>
          <w:szCs w:val="32"/>
          <w:u w:val="single"/>
        </w:rPr>
      </w:pPr>
    </w:p>
    <w:p w14:paraId="5F0D3696">
      <w:pPr>
        <w:pStyle w:val="13"/>
        <w:spacing w:beforeAutospacing="0" w:afterAutospacing="0"/>
        <w:jc w:val="center"/>
        <w:rPr>
          <w:rFonts w:ascii="黑体" w:hAnsi="宋体" w:eastAsia="黑体" w:cs="黑体"/>
          <w:i/>
          <w:color w:val="000000"/>
          <w:sz w:val="32"/>
          <w:szCs w:val="32"/>
          <w:u w:val="single"/>
        </w:rPr>
      </w:pPr>
    </w:p>
    <w:p w14:paraId="76062E38">
      <w:pPr>
        <w:pStyle w:val="13"/>
        <w:spacing w:beforeAutospacing="0" w:afterAutospacing="0"/>
        <w:jc w:val="center"/>
        <w:rPr>
          <w:rFonts w:ascii="黑体" w:hAnsi="宋体" w:eastAsia="黑体" w:cs="黑体"/>
          <w:i/>
          <w:color w:val="000000"/>
          <w:sz w:val="32"/>
          <w:szCs w:val="32"/>
          <w:u w:val="single"/>
        </w:rPr>
      </w:pPr>
    </w:p>
    <w:p w14:paraId="69736215">
      <w:pPr>
        <w:pStyle w:val="13"/>
        <w:spacing w:beforeAutospacing="0" w:afterAutospacing="0"/>
        <w:jc w:val="center"/>
      </w:pPr>
      <w:r>
        <w:rPr>
          <w:rFonts w:hint="eastAsia" w:ascii="黑体" w:hAnsi="宋体" w:eastAsia="黑体" w:cs="黑体"/>
          <w:i/>
          <w:color w:val="000000"/>
          <w:sz w:val="32"/>
          <w:szCs w:val="32"/>
          <w:u w:val="single"/>
        </w:rPr>
        <w:t>七、法人授权书</w:t>
      </w:r>
    </w:p>
    <w:p w14:paraId="53B125CD">
      <w:pPr>
        <w:pStyle w:val="13"/>
        <w:tabs>
          <w:tab w:val="left" w:pos="360"/>
        </w:tabs>
        <w:spacing w:beforeAutospacing="0" w:afterAutospacing="0"/>
        <w:ind w:firstLine="480"/>
        <w:jc w:val="both"/>
      </w:pPr>
      <w:r>
        <w:rPr>
          <w:rFonts w:ascii="Times New Roman" w:hAnsi="Times New Roman"/>
          <w:color w:val="000000"/>
        </w:rPr>
        <w:t>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号项目采购活动的合法代理人，以本单位名义全权处理一切与该项目采购有关的事务。</w:t>
      </w:r>
    </w:p>
    <w:p w14:paraId="48D3C98A">
      <w:pPr>
        <w:pStyle w:val="13"/>
        <w:tabs>
          <w:tab w:val="left" w:pos="360"/>
        </w:tabs>
        <w:spacing w:beforeAutospacing="0" w:afterAutospacing="0"/>
        <w:ind w:firstLine="480"/>
        <w:jc w:val="both"/>
      </w:pPr>
      <w:r>
        <w:rPr>
          <w:rFonts w:ascii="Times New Roman" w:hAnsi="Times New Roman"/>
          <w:color w:val="000000"/>
        </w:rPr>
        <w:t>本授权书于______年____月____日起生效，特此声明。</w:t>
      </w:r>
    </w:p>
    <w:p w14:paraId="76D84073">
      <w:pPr>
        <w:pStyle w:val="13"/>
        <w:tabs>
          <w:tab w:val="left" w:pos="360"/>
        </w:tabs>
        <w:spacing w:beforeAutospacing="0" w:afterAutospacing="0"/>
        <w:jc w:val="both"/>
      </w:pPr>
      <w:r>
        <w:rPr>
          <w:rFonts w:ascii="Times New Roman" w:hAnsi="Times New Roman"/>
          <w:color w:val="000000"/>
        </w:rPr>
        <w:t>          被授权人身份证号码：</w:t>
      </w:r>
      <w:r>
        <w:rPr>
          <w:rFonts w:ascii="Times New Roman" w:hAnsi="Times New Roman"/>
          <w:color w:val="000000"/>
          <w:u w:val="single"/>
        </w:rPr>
        <w:t xml:space="preserve">                              </w:t>
      </w:r>
    </w:p>
    <w:p w14:paraId="3A73CD84">
      <w:pPr>
        <w:pStyle w:val="13"/>
        <w:tabs>
          <w:tab w:val="left" w:pos="360"/>
        </w:tabs>
        <w:spacing w:beforeAutospacing="0" w:afterAutospacing="0"/>
        <w:jc w:val="both"/>
      </w:pPr>
      <w:r>
        <w:rPr>
          <w:rFonts w:ascii="Times New Roman" w:hAnsi="Times New Roman"/>
          <w:color w:val="000000"/>
        </w:rPr>
        <w:t>          被授权人联系电话：（手机）</w:t>
      </w:r>
      <w:r>
        <w:rPr>
          <w:rFonts w:ascii="Times New Roman" w:hAnsi="Times New Roman"/>
          <w:color w:val="000000"/>
          <w:u w:val="single"/>
        </w:rPr>
        <w:t xml:space="preserve">                          </w:t>
      </w:r>
    </w:p>
    <w:p w14:paraId="1E3056E1">
      <w:pPr>
        <w:pStyle w:val="13"/>
        <w:tabs>
          <w:tab w:val="left" w:pos="360"/>
        </w:tabs>
        <w:spacing w:beforeAutospacing="0" w:afterAutospacing="0"/>
        <w:ind w:firstLine="1200"/>
        <w:jc w:val="both"/>
      </w:pPr>
      <w:r>
        <w:rPr>
          <w:rFonts w:ascii="Times New Roman" w:hAnsi="Times New Roman"/>
          <w:color w:val="000000"/>
        </w:rPr>
        <w:t>授权单位名称：</w:t>
      </w:r>
      <w:r>
        <w:rPr>
          <w:rFonts w:ascii="Times New Roman" w:hAnsi="Times New Roman"/>
          <w:color w:val="000000"/>
          <w:u w:val="single"/>
        </w:rPr>
        <w:t>（加盖CA电子公章）</w:t>
      </w:r>
    </w:p>
    <w:p w14:paraId="2FF4BD47">
      <w:pPr>
        <w:pStyle w:val="13"/>
        <w:tabs>
          <w:tab w:val="left" w:pos="360"/>
        </w:tabs>
        <w:spacing w:beforeAutospacing="0" w:afterAutospacing="0"/>
        <w:ind w:firstLine="480"/>
        <w:jc w:val="both"/>
      </w:pPr>
      <w:r>
        <w:rPr>
          <w:rFonts w:ascii="Times New Roman" w:hAnsi="Times New Roman"/>
          <w:color w:val="000000"/>
        </w:rPr>
        <w:t>      单位地址：</w:t>
      </w:r>
      <w:r>
        <w:rPr>
          <w:rFonts w:ascii="Times New Roman" w:hAnsi="Times New Roman"/>
          <w:color w:val="000000"/>
          <w:u w:val="single"/>
        </w:rPr>
        <w:t xml:space="preserve">                                         </w:t>
      </w:r>
    </w:p>
    <w:p w14:paraId="3E759C77">
      <w:pPr>
        <w:pStyle w:val="13"/>
        <w:tabs>
          <w:tab w:val="left" w:pos="360"/>
        </w:tabs>
        <w:spacing w:beforeAutospacing="0" w:afterAutospacing="0"/>
        <w:ind w:firstLine="480"/>
        <w:jc w:val="both"/>
      </w:pPr>
      <w:r>
        <w:rPr>
          <w:rFonts w:ascii="Times New Roman" w:hAnsi="Times New Roman"/>
          <w:color w:val="000000"/>
        </w:rPr>
        <w:t>      日期：</w:t>
      </w:r>
      <w:bookmarkStart w:id="189" w:name="_Hlt26955070"/>
      <w:bookmarkStart w:id="190" w:name="_格式3__银行出具的资信证明"/>
      <w:bookmarkStart w:id="191" w:name="_Hlt26671380"/>
      <w:r>
        <w:rPr>
          <w:rFonts w:ascii="Times New Roman" w:hAnsi="Times New Roman"/>
          <w:color w:val="000000"/>
          <w:u w:val="single"/>
        </w:rPr>
        <w:t xml:space="preserve">                                         </w:t>
      </w:r>
    </w:p>
    <w:p w14:paraId="45F7CB17">
      <w:pPr>
        <w:pStyle w:val="13"/>
        <w:spacing w:beforeAutospacing="0" w:afterAutospacing="0"/>
        <w:ind w:firstLine="420"/>
        <w:jc w:val="both"/>
      </w:pPr>
      <w:r>
        <w:t> </w:t>
      </w:r>
    </w:p>
    <w:p w14:paraId="12923E15">
      <w:pPr>
        <w:pStyle w:val="13"/>
        <w:spacing w:beforeAutospacing="0" w:afterAutospacing="0"/>
        <w:jc w:val="both"/>
      </w:pPr>
      <w:r>
        <w:t> </w:t>
      </w:r>
    </w:p>
    <w:p w14:paraId="22347FC5">
      <w:pPr>
        <w:pStyle w:val="13"/>
        <w:spacing w:beforeAutospacing="0" w:afterAutospacing="0" w:line="0" w:lineRule="atLeast"/>
        <w:jc w:val="both"/>
      </w:pPr>
      <w:r>
        <w:t> </w:t>
      </w:r>
    </w:p>
    <w:p w14:paraId="212F1CE4">
      <w:pPr>
        <w:pStyle w:val="13"/>
        <w:spacing w:beforeAutospacing="0" w:afterAutospacing="0" w:line="0" w:lineRule="atLeast"/>
        <w:jc w:val="both"/>
      </w:pPr>
      <w:r>
        <w:t> </w:t>
      </w:r>
    </w:p>
    <w:p w14:paraId="35AA4ACC">
      <w:pPr>
        <w:pStyle w:val="13"/>
        <w:keepNext/>
        <w:keepLines/>
        <w:spacing w:before="260" w:beforeAutospacing="0" w:after="260" w:afterAutospacing="0" w:line="415" w:lineRule="auto"/>
        <w:ind w:firstLine="3390"/>
        <w:jc w:val="both"/>
        <w:rPr>
          <w:rFonts w:ascii="黑体" w:hAnsi="宋体" w:eastAsia="黑体" w:cs="黑体"/>
          <w:b/>
          <w:color w:val="000000"/>
          <w:sz w:val="32"/>
          <w:szCs w:val="32"/>
        </w:rPr>
      </w:pPr>
      <w:r>
        <w:rPr>
          <w:rFonts w:hint="eastAsia" w:ascii="宋体" w:hAnsi="宋体" w:eastAsia="宋体" w:cs="宋体"/>
          <w:b/>
          <w:color w:val="000000"/>
        </w:rPr>
        <w:br w:type="page"/>
      </w:r>
      <w:r>
        <w:rPr>
          <w:rFonts w:hint="eastAsia" w:ascii="宋体" w:hAnsi="宋体" w:eastAsia="宋体" w:cs="宋体"/>
          <w:b/>
          <w:color w:val="000000"/>
        </w:rPr>
        <w:t> </w:t>
      </w:r>
      <w:r>
        <w:rPr>
          <w:rFonts w:hint="eastAsia" w:ascii="黑体" w:hAnsi="宋体" w:eastAsia="黑体" w:cs="黑体"/>
          <w:b/>
          <w:color w:val="000000"/>
          <w:sz w:val="32"/>
          <w:szCs w:val="32"/>
        </w:rPr>
        <w:t>八、投标函</w:t>
      </w:r>
    </w:p>
    <w:p w14:paraId="216E0959">
      <w:pPr>
        <w:pStyle w:val="13"/>
        <w:spacing w:beforeAutospacing="0" w:afterAutospacing="0" w:line="0" w:lineRule="atLeast"/>
      </w:pPr>
      <w:r>
        <w:rPr>
          <w:rFonts w:hint="eastAsia" w:ascii="宋体" w:hAnsi="宋体" w:eastAsia="宋体" w:cs="宋体"/>
          <w:color w:val="000000"/>
        </w:rPr>
        <w:t>致：盐城畅达招标代理有限公司</w:t>
      </w:r>
    </w:p>
    <w:p w14:paraId="3C2CCDBB">
      <w:pPr>
        <w:pStyle w:val="13"/>
        <w:spacing w:beforeAutospacing="0" w:afterAutospacing="0" w:line="0" w:lineRule="atLeast"/>
        <w:ind w:firstLine="480"/>
      </w:pPr>
      <w:r>
        <w:rPr>
          <w:rFonts w:hint="eastAsia" w:ascii="宋体" w:hAnsi="宋体" w:eastAsia="宋体" w:cs="宋体"/>
          <w:color w:val="000000"/>
        </w:rPr>
        <w:t>根据贵方的JSZC-320000-***号招标文件，正式授权下述签字人______(姓名)代表我方______________（投标人的名称），全权处理本次项目投标的有关事宜。</w:t>
      </w:r>
    </w:p>
    <w:p w14:paraId="047F2361">
      <w:pPr>
        <w:pStyle w:val="13"/>
        <w:spacing w:beforeAutospacing="0" w:afterAutospacing="0" w:line="0" w:lineRule="atLeast"/>
        <w:ind w:firstLine="480"/>
      </w:pPr>
      <w:r>
        <w:rPr>
          <w:rFonts w:hint="eastAsia" w:ascii="宋体" w:hAnsi="宋体" w:eastAsia="宋体" w:cs="宋体"/>
          <w:color w:val="000000"/>
        </w:rPr>
        <w:t>据此函，__________签字人兹宣布同意如下：</w:t>
      </w:r>
    </w:p>
    <w:p w14:paraId="2F2F8D93">
      <w:pPr>
        <w:pStyle w:val="13"/>
        <w:spacing w:beforeAutospacing="0" w:afterAutospacing="0" w:line="0" w:lineRule="atLeast"/>
        <w:ind w:firstLine="480"/>
      </w:pPr>
      <w:r>
        <w:rPr>
          <w:rFonts w:hint="eastAsia" w:ascii="宋体" w:hAnsi="宋体" w:eastAsia="宋体" w:cs="宋体"/>
          <w:color w:val="000000"/>
        </w:rPr>
        <w:t>1.按招标文件规定的各项要求，向买方提供所需服务（包含与服务相关的货物）。</w:t>
      </w:r>
    </w:p>
    <w:p w14:paraId="31D0FBBD">
      <w:pPr>
        <w:pStyle w:val="13"/>
        <w:spacing w:beforeAutospacing="0" w:afterAutospacing="0" w:line="0" w:lineRule="atLeast"/>
        <w:ind w:firstLine="480"/>
      </w:pPr>
      <w:r>
        <w:rPr>
          <w:rFonts w:hint="eastAsia" w:ascii="宋体" w:hAnsi="宋体" w:eastAsia="宋体" w:cs="宋体"/>
          <w:color w:val="000000"/>
        </w:rPr>
        <w:t>2.我们完全理解贵方不一定将合同授予最低报价的投标人。</w:t>
      </w:r>
    </w:p>
    <w:p w14:paraId="4985B8E2">
      <w:pPr>
        <w:pStyle w:val="13"/>
        <w:spacing w:beforeAutospacing="0" w:afterAutospacing="0" w:line="0" w:lineRule="atLeast"/>
        <w:ind w:firstLine="480"/>
      </w:pPr>
      <w:r>
        <w:rPr>
          <w:rFonts w:hint="eastAsia" w:ascii="宋体" w:hAnsi="宋体" w:eastAsia="宋体" w:cs="宋体"/>
          <w:color w:val="000000"/>
        </w:rPr>
        <w:t>3.我们已详细审核全部招标文件及其有效补充文件，我们知道必须放弃提出含糊不清或误解问题的权利。</w:t>
      </w:r>
    </w:p>
    <w:p w14:paraId="6BC35BAF">
      <w:pPr>
        <w:pStyle w:val="13"/>
        <w:spacing w:beforeAutospacing="0" w:afterAutospacing="0" w:line="0" w:lineRule="atLeast"/>
        <w:ind w:firstLine="480"/>
      </w:pPr>
      <w:r>
        <w:rPr>
          <w:rFonts w:hint="eastAsia" w:ascii="宋体" w:hAnsi="宋体" w:eastAsia="宋体" w:cs="宋体"/>
          <w:color w:val="000000"/>
        </w:rPr>
        <w:t>4.我们同意从规定的开标日期起遵循本投标文件，并在规定的投标有效期期满之前均具有约束力。</w:t>
      </w:r>
    </w:p>
    <w:p w14:paraId="7917074E">
      <w:pPr>
        <w:pStyle w:val="13"/>
        <w:spacing w:beforeAutospacing="0" w:afterAutospacing="0" w:line="0" w:lineRule="atLeast"/>
        <w:ind w:firstLine="480"/>
      </w:pPr>
      <w:r>
        <w:rPr>
          <w:rFonts w:hint="eastAsia" w:ascii="宋体" w:hAnsi="宋体" w:eastAsia="宋体" w:cs="宋体"/>
          <w:color w:val="000000"/>
        </w:rPr>
        <w:t>5.同意向贵方提供贵方可能另外要求的与投标有关的任何证据或资料，并保证我方已提供和将要提供的文件是真实的、准确的。</w:t>
      </w:r>
    </w:p>
    <w:p w14:paraId="1318B937">
      <w:pPr>
        <w:pStyle w:val="13"/>
        <w:spacing w:beforeAutospacing="0" w:afterAutospacing="0" w:line="0" w:lineRule="atLeast"/>
        <w:ind w:firstLine="480"/>
      </w:pPr>
      <w:r>
        <w:rPr>
          <w:rFonts w:hint="eastAsia" w:ascii="宋体" w:hAnsi="宋体" w:eastAsia="宋体" w:cs="宋体"/>
          <w:color w:val="000000"/>
        </w:rPr>
        <w:t>6.一旦我方中标,我方将根据招标文件的规定，严格履行合同的责任和义务,并保证在招标文件规定的时间完成项目，交付买方验收、使用。</w:t>
      </w:r>
    </w:p>
    <w:p w14:paraId="020793E6">
      <w:pPr>
        <w:pStyle w:val="13"/>
        <w:spacing w:beforeAutospacing="0" w:afterAutospacing="0" w:line="0" w:lineRule="atLeast"/>
        <w:ind w:firstLine="480"/>
      </w:pPr>
      <w:r>
        <w:rPr>
          <w:rFonts w:hint="eastAsia" w:ascii="宋体" w:hAnsi="宋体" w:eastAsia="宋体" w:cs="宋体"/>
          <w:color w:val="000000"/>
        </w:rPr>
        <w:t>7.与本投标有关的正式通讯地址为：</w:t>
      </w:r>
    </w:p>
    <w:p w14:paraId="5B60646A">
      <w:pPr>
        <w:pStyle w:val="13"/>
        <w:spacing w:beforeAutospacing="0" w:afterAutospacing="0" w:line="0" w:lineRule="atLeast"/>
        <w:ind w:left="420" w:firstLine="480"/>
      </w:pPr>
      <w:r>
        <w:rPr>
          <w:rFonts w:hint="eastAsia" w:ascii="宋体" w:hAnsi="宋体" w:eastAsia="宋体" w:cs="宋体"/>
          <w:color w:val="000000"/>
        </w:rPr>
        <w:t>地          址：</w:t>
      </w:r>
    </w:p>
    <w:p w14:paraId="025707FB">
      <w:pPr>
        <w:pStyle w:val="13"/>
        <w:spacing w:beforeAutospacing="0" w:afterAutospacing="0" w:line="0" w:lineRule="atLeast"/>
        <w:ind w:left="420" w:firstLine="480"/>
      </w:pPr>
      <w:r>
        <w:rPr>
          <w:rFonts w:hint="eastAsia" w:ascii="宋体" w:hAnsi="宋体" w:eastAsia="宋体" w:cs="宋体"/>
          <w:color w:val="000000"/>
        </w:rPr>
        <w:t>邮          编：</w:t>
      </w:r>
    </w:p>
    <w:p w14:paraId="55B1327C">
      <w:pPr>
        <w:pStyle w:val="13"/>
        <w:spacing w:beforeAutospacing="0" w:afterAutospacing="0" w:line="0" w:lineRule="atLeast"/>
        <w:ind w:left="420" w:firstLine="480"/>
      </w:pPr>
      <w:r>
        <w:rPr>
          <w:rFonts w:hint="eastAsia" w:ascii="宋体" w:hAnsi="宋体" w:eastAsia="宋体" w:cs="宋体"/>
          <w:color w:val="000000"/>
        </w:rPr>
        <w:t>电          话：</w:t>
      </w:r>
    </w:p>
    <w:p w14:paraId="5A83044E">
      <w:pPr>
        <w:pStyle w:val="13"/>
        <w:spacing w:beforeAutospacing="0" w:afterAutospacing="0" w:line="0" w:lineRule="atLeast"/>
        <w:ind w:left="420" w:firstLine="480"/>
      </w:pPr>
      <w:r>
        <w:rPr>
          <w:rFonts w:hint="eastAsia" w:ascii="宋体" w:hAnsi="宋体" w:eastAsia="宋体" w:cs="宋体"/>
          <w:color w:val="000000"/>
        </w:rPr>
        <w:t>传          真：</w:t>
      </w:r>
    </w:p>
    <w:p w14:paraId="5D9D74A8">
      <w:pPr>
        <w:pStyle w:val="13"/>
        <w:spacing w:beforeAutospacing="0" w:afterAutospacing="0" w:line="0" w:lineRule="atLeast"/>
        <w:ind w:left="420" w:firstLine="480"/>
      </w:pPr>
      <w:r>
        <w:rPr>
          <w:rFonts w:hint="eastAsia" w:ascii="宋体" w:hAnsi="宋体" w:eastAsia="宋体" w:cs="宋体"/>
          <w:color w:val="000000"/>
        </w:rPr>
        <w:t>投标人开户行：</w:t>
      </w:r>
    </w:p>
    <w:p w14:paraId="0A7BECF7">
      <w:pPr>
        <w:pStyle w:val="13"/>
        <w:spacing w:beforeAutospacing="0" w:afterAutospacing="0" w:line="0" w:lineRule="atLeast"/>
        <w:ind w:left="420" w:firstLine="480"/>
      </w:pPr>
      <w:r>
        <w:rPr>
          <w:rFonts w:hint="eastAsia" w:ascii="宋体" w:hAnsi="宋体" w:eastAsia="宋体" w:cs="宋体"/>
          <w:color w:val="000000"/>
        </w:rPr>
        <w:t xml:space="preserve">账          号： </w:t>
      </w:r>
    </w:p>
    <w:p w14:paraId="66CDF8A0">
      <w:pPr>
        <w:pStyle w:val="13"/>
        <w:spacing w:beforeAutospacing="0" w:afterAutospacing="0" w:line="0" w:lineRule="atLeast"/>
        <w:ind w:left="420" w:firstLine="480"/>
      </w:pPr>
      <w:r>
        <w:rPr>
          <w:rFonts w:hint="eastAsia" w:ascii="宋体" w:hAnsi="宋体" w:eastAsia="宋体" w:cs="宋体"/>
          <w:color w:val="000000"/>
        </w:rPr>
        <w:t>日           期：________年____月____日</w:t>
      </w:r>
    </w:p>
    <w:p w14:paraId="2220F197">
      <w:pPr>
        <w:pStyle w:val="13"/>
        <w:spacing w:beforeAutospacing="0" w:afterAutospacing="0" w:line="0" w:lineRule="atLeast"/>
        <w:ind w:firstLine="240"/>
        <w:jc w:val="center"/>
      </w:pPr>
      <w:r>
        <w:t> </w:t>
      </w:r>
    </w:p>
    <w:p w14:paraId="07BBFDA2">
      <w:pPr>
        <w:pStyle w:val="13"/>
        <w:spacing w:beforeAutospacing="0" w:afterAutospacing="0" w:line="0" w:lineRule="atLeast"/>
        <w:ind w:firstLine="240"/>
        <w:jc w:val="center"/>
      </w:pPr>
      <w:r>
        <w:t> </w:t>
      </w:r>
    </w:p>
    <w:p w14:paraId="27C72A86">
      <w:pPr>
        <w:pStyle w:val="13"/>
        <w:spacing w:beforeAutospacing="0" w:afterAutospacing="0" w:line="0" w:lineRule="atLeast"/>
        <w:ind w:firstLine="240"/>
        <w:jc w:val="center"/>
      </w:pPr>
      <w:r>
        <w:t> </w:t>
      </w:r>
    </w:p>
    <w:p w14:paraId="1D247488">
      <w:pPr>
        <w:pStyle w:val="13"/>
        <w:spacing w:beforeAutospacing="0" w:afterAutospacing="0" w:line="0" w:lineRule="atLeast"/>
        <w:ind w:firstLine="240"/>
        <w:jc w:val="center"/>
      </w:pPr>
      <w:r>
        <w:t> </w:t>
      </w:r>
    </w:p>
    <w:p w14:paraId="1E8D562A">
      <w:pPr>
        <w:pStyle w:val="13"/>
        <w:spacing w:beforeAutospacing="0" w:afterAutospacing="0" w:line="0" w:lineRule="atLeast"/>
        <w:ind w:firstLine="240"/>
        <w:jc w:val="center"/>
      </w:pPr>
      <w:r>
        <w:t> </w:t>
      </w:r>
    </w:p>
    <w:p w14:paraId="5587D995">
      <w:pPr>
        <w:pStyle w:val="13"/>
        <w:spacing w:beforeAutospacing="0" w:afterAutospacing="0" w:line="0" w:lineRule="atLeast"/>
        <w:ind w:firstLine="240"/>
        <w:jc w:val="center"/>
      </w:pPr>
    </w:p>
    <w:p w14:paraId="18BCDDE0">
      <w:pPr>
        <w:pStyle w:val="13"/>
        <w:spacing w:beforeAutospacing="0" w:afterAutospacing="0" w:line="0" w:lineRule="atLeast"/>
        <w:ind w:firstLine="240"/>
        <w:jc w:val="center"/>
      </w:pPr>
    </w:p>
    <w:p w14:paraId="3AA1BC2D">
      <w:pPr>
        <w:pStyle w:val="13"/>
        <w:spacing w:beforeAutospacing="0" w:afterAutospacing="0" w:line="0" w:lineRule="atLeast"/>
        <w:ind w:firstLine="240"/>
        <w:jc w:val="center"/>
      </w:pPr>
    </w:p>
    <w:p w14:paraId="5169F855">
      <w:pPr>
        <w:pStyle w:val="13"/>
        <w:spacing w:beforeAutospacing="0" w:afterAutospacing="0" w:line="0" w:lineRule="atLeast"/>
        <w:ind w:firstLine="240"/>
        <w:jc w:val="center"/>
      </w:pPr>
    </w:p>
    <w:p w14:paraId="1D53452A">
      <w:pPr>
        <w:pStyle w:val="13"/>
        <w:spacing w:beforeAutospacing="0" w:afterAutospacing="0" w:line="0" w:lineRule="atLeast"/>
        <w:ind w:firstLine="240"/>
        <w:jc w:val="center"/>
      </w:pPr>
    </w:p>
    <w:p w14:paraId="74B60BFC">
      <w:pPr>
        <w:pStyle w:val="13"/>
        <w:spacing w:beforeAutospacing="0" w:afterAutospacing="0" w:line="0" w:lineRule="atLeast"/>
        <w:ind w:firstLine="240"/>
        <w:jc w:val="center"/>
      </w:pPr>
    </w:p>
    <w:p w14:paraId="53BD2907">
      <w:pPr>
        <w:pStyle w:val="13"/>
        <w:spacing w:beforeAutospacing="0" w:afterAutospacing="0" w:line="0" w:lineRule="atLeast"/>
        <w:ind w:firstLine="240"/>
        <w:jc w:val="center"/>
      </w:pPr>
    </w:p>
    <w:p w14:paraId="29AE56E4">
      <w:pPr>
        <w:pStyle w:val="13"/>
        <w:spacing w:beforeAutospacing="0" w:afterAutospacing="0" w:line="0" w:lineRule="atLeast"/>
        <w:ind w:firstLine="240"/>
        <w:jc w:val="center"/>
      </w:pPr>
    </w:p>
    <w:p w14:paraId="237BD310">
      <w:pPr>
        <w:pStyle w:val="13"/>
        <w:spacing w:beforeAutospacing="0" w:afterAutospacing="0" w:line="0" w:lineRule="atLeast"/>
        <w:ind w:firstLine="240"/>
        <w:jc w:val="center"/>
      </w:pPr>
    </w:p>
    <w:p w14:paraId="1928E06D">
      <w:pPr>
        <w:pStyle w:val="13"/>
        <w:spacing w:beforeAutospacing="0" w:afterAutospacing="0" w:line="0" w:lineRule="atLeast"/>
        <w:ind w:firstLine="240"/>
        <w:jc w:val="center"/>
      </w:pPr>
    </w:p>
    <w:p w14:paraId="7CC9A09E">
      <w:pPr>
        <w:pStyle w:val="13"/>
        <w:spacing w:beforeAutospacing="0" w:afterAutospacing="0" w:line="0" w:lineRule="atLeast"/>
        <w:ind w:firstLine="240"/>
        <w:jc w:val="center"/>
      </w:pPr>
    </w:p>
    <w:p w14:paraId="7901F547">
      <w:pPr>
        <w:pStyle w:val="13"/>
        <w:spacing w:beforeAutospacing="0" w:afterAutospacing="0" w:line="0" w:lineRule="atLeast"/>
        <w:jc w:val="center"/>
      </w:pPr>
      <w:r>
        <w:t> </w:t>
      </w:r>
    </w:p>
    <w:p w14:paraId="594D5F95">
      <w:pPr>
        <w:pStyle w:val="13"/>
        <w:spacing w:beforeAutospacing="0" w:afterAutospacing="0" w:line="0" w:lineRule="atLeast"/>
        <w:jc w:val="center"/>
      </w:pPr>
      <w:r>
        <w:rPr>
          <w:rFonts w:hint="eastAsia" w:ascii="黑体" w:hAnsi="宋体" w:eastAsia="黑体" w:cs="黑体"/>
          <w:b/>
          <w:color w:val="000000"/>
          <w:sz w:val="32"/>
          <w:szCs w:val="32"/>
        </w:rPr>
        <w:t>九、中小企业声明函（服务）（分包号：**）</w:t>
      </w:r>
    </w:p>
    <w:p w14:paraId="42CD1EE7">
      <w:pPr>
        <w:pStyle w:val="13"/>
        <w:spacing w:beforeAutospacing="0" w:afterAutospacing="0" w:line="0" w:lineRule="atLeast"/>
        <w:ind w:firstLine="360"/>
        <w:jc w:val="both"/>
      </w:pPr>
      <w:r>
        <w:rPr>
          <w:rFonts w:hint="eastAsia" w:ascii="宋体" w:hAnsi="宋体" w:eastAsia="宋体" w:cs="宋体"/>
          <w:color w:val="000000"/>
        </w:rPr>
        <w:t>本公司（联合体）郑重声明，根据《政府采购促进中小企业发展管理办法》(财库[2020]46号)的规定，本公司（联合体）参加盐城畅达招标代理有限公司组织的</w:t>
      </w:r>
      <w:r>
        <w:rPr>
          <w:rFonts w:hint="eastAsia" w:ascii="宋体" w:hAnsi="宋体" w:eastAsia="宋体" w:cs="宋体"/>
          <w:color w:val="000000"/>
          <w:u w:val="single"/>
        </w:rPr>
        <w:t>（单位名称）</w:t>
      </w:r>
      <w:r>
        <w:rPr>
          <w:rFonts w:hint="eastAsia" w:ascii="宋体" w:hAnsi="宋体" w:eastAsia="宋体" w:cs="宋体"/>
          <w:color w:val="000000"/>
        </w:rPr>
        <w:t>采购编号为</w:t>
      </w:r>
      <w:r>
        <w:rPr>
          <w:rFonts w:hint="eastAsia" w:ascii="宋体" w:hAnsi="宋体" w:eastAsia="宋体" w:cs="宋体"/>
          <w:color w:val="000000"/>
          <w:u w:val="single"/>
        </w:rPr>
        <w:t>***</w:t>
      </w:r>
      <w:r>
        <w:rPr>
          <w:rFonts w:hint="eastAsia" w:ascii="宋体" w:hAnsi="宋体" w:eastAsia="宋体" w:cs="宋体"/>
          <w:color w:val="000000"/>
        </w:rPr>
        <w:t>，</w:t>
      </w:r>
      <w:r>
        <w:rPr>
          <w:rFonts w:hint="eastAsia" w:ascii="宋体" w:hAnsi="宋体" w:eastAsia="宋体" w:cs="宋体"/>
          <w:color w:val="000000"/>
          <w:u w:val="single"/>
        </w:rPr>
        <w:t>（项目名称）（分包号：**）</w:t>
      </w:r>
      <w:r>
        <w:rPr>
          <w:rFonts w:hint="eastAsia" w:ascii="宋体" w:hAnsi="宋体" w:eastAsia="宋体" w:cs="宋体"/>
          <w:color w:val="000000"/>
        </w:rPr>
        <w:t>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3E702AC5">
      <w:pPr>
        <w:pStyle w:val="13"/>
        <w:spacing w:beforeAutospacing="0" w:afterAutospacing="0" w:line="0" w:lineRule="atLeast"/>
        <w:ind w:firstLine="360"/>
        <w:jc w:val="both"/>
      </w:pPr>
      <w:r>
        <w:rPr>
          <w:rFonts w:hint="eastAsia" w:ascii="宋体" w:hAnsi="宋体" w:eastAsia="宋体" w:cs="宋体"/>
          <w:color w:val="000000"/>
        </w:rPr>
        <w:t>1.</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行业；承接企业为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w:t>
      </w:r>
      <w:r>
        <w:rPr>
          <w:rFonts w:hint="eastAsia" w:ascii="宋体" w:hAnsi="宋体" w:eastAsia="宋体" w:cs="宋体"/>
          <w:color w:val="000000"/>
          <w:vertAlign w:val="superscript"/>
        </w:rPr>
        <w:t>1</w:t>
      </w:r>
      <w:r>
        <w:rPr>
          <w:rFonts w:hint="eastAsia" w:ascii="宋体" w:hAnsi="宋体" w:eastAsia="宋体" w:cs="宋体"/>
          <w:color w:val="000000"/>
        </w:rPr>
        <w:t>，属于</w:t>
      </w:r>
      <w:r>
        <w:rPr>
          <w:rFonts w:hint="eastAsia" w:ascii="宋体" w:hAnsi="宋体" w:eastAsia="宋体" w:cs="宋体"/>
          <w:color w:val="000000"/>
          <w:u w:val="single"/>
        </w:rPr>
        <w:t>（中型企业、小型企业、微型企业）；</w:t>
      </w:r>
    </w:p>
    <w:p w14:paraId="788A4ED1">
      <w:pPr>
        <w:pStyle w:val="13"/>
        <w:spacing w:beforeAutospacing="0" w:afterAutospacing="0" w:line="0" w:lineRule="atLeast"/>
        <w:ind w:firstLine="360"/>
        <w:jc w:val="both"/>
      </w:pPr>
      <w:r>
        <w:rPr>
          <w:rFonts w:hint="eastAsia" w:ascii="宋体" w:hAnsi="宋体" w:eastAsia="宋体" w:cs="宋体"/>
          <w:color w:val="000000"/>
        </w:rPr>
        <w:t>2.</w:t>
      </w:r>
      <w:r>
        <w:rPr>
          <w:rFonts w:hint="eastAsia" w:ascii="宋体" w:hAnsi="宋体" w:eastAsia="宋体" w:cs="宋体"/>
          <w:color w:val="000000"/>
          <w:u w:val="single"/>
        </w:rPr>
        <w:t>（标的名称）</w:t>
      </w:r>
      <w:r>
        <w:rPr>
          <w:rFonts w:hint="eastAsia" w:ascii="宋体" w:hAnsi="宋体" w:eastAsia="宋体" w:cs="宋体"/>
          <w:i/>
          <w:color w:val="000000"/>
        </w:rPr>
        <w:t>，</w:t>
      </w:r>
      <w:r>
        <w:rPr>
          <w:rFonts w:hint="eastAsia" w:ascii="宋体" w:hAnsi="宋体" w:eastAsia="宋体" w:cs="宋体"/>
          <w:color w:val="000000"/>
        </w:rPr>
        <w:t>属于</w:t>
      </w:r>
      <w:r>
        <w:rPr>
          <w:rFonts w:hint="eastAsia" w:ascii="宋体" w:hAnsi="宋体" w:eastAsia="宋体" w:cs="宋体"/>
          <w:color w:val="000000"/>
          <w:u w:val="single"/>
        </w:rPr>
        <w:t xml:space="preserve">       </w:t>
      </w:r>
      <w:r>
        <w:rPr>
          <w:rFonts w:hint="eastAsia" w:ascii="宋体" w:hAnsi="宋体" w:eastAsia="宋体" w:cs="宋体"/>
          <w:color w:val="000000"/>
        </w:rPr>
        <w:t>行业；承接企业为</w:t>
      </w:r>
      <w:r>
        <w:rPr>
          <w:rFonts w:hint="eastAsia" w:ascii="宋体" w:hAnsi="宋体" w:eastAsia="宋体" w:cs="宋体"/>
          <w:color w:val="000000"/>
          <w:u w:val="single"/>
        </w:rPr>
        <w:t>（企业名称）</w:t>
      </w:r>
      <w:r>
        <w:rPr>
          <w:rFonts w:hint="eastAsia" w:ascii="宋体" w:hAnsi="宋体" w:eastAsia="宋体" w:cs="宋体"/>
          <w:color w:val="000000"/>
        </w:rPr>
        <w:t>，从业人员</w:t>
      </w:r>
      <w:r>
        <w:rPr>
          <w:rFonts w:hint="eastAsia" w:ascii="宋体" w:hAnsi="宋体" w:eastAsia="宋体" w:cs="宋体"/>
          <w:color w:val="000000"/>
          <w:u w:val="single"/>
        </w:rPr>
        <w:t xml:space="preserve">      </w:t>
      </w:r>
      <w:r>
        <w:rPr>
          <w:rFonts w:hint="eastAsia" w:ascii="宋体" w:hAnsi="宋体" w:eastAsia="宋体" w:cs="宋体"/>
          <w:color w:val="000000"/>
        </w:rPr>
        <w:t>人，营业收入为</w:t>
      </w:r>
      <w:r>
        <w:rPr>
          <w:rFonts w:hint="eastAsia" w:ascii="宋体" w:hAnsi="宋体" w:eastAsia="宋体" w:cs="宋体"/>
          <w:color w:val="000000"/>
          <w:u w:val="single"/>
        </w:rPr>
        <w:t xml:space="preserve">     </w:t>
      </w:r>
      <w:r>
        <w:rPr>
          <w:rFonts w:hint="eastAsia" w:ascii="宋体" w:hAnsi="宋体" w:eastAsia="宋体" w:cs="宋体"/>
          <w:color w:val="000000"/>
        </w:rPr>
        <w:t>万元，资产总额为</w:t>
      </w:r>
      <w:r>
        <w:rPr>
          <w:rFonts w:hint="eastAsia" w:ascii="宋体" w:hAnsi="宋体" w:eastAsia="宋体" w:cs="宋体"/>
          <w:color w:val="000000"/>
          <w:u w:val="single"/>
        </w:rPr>
        <w:t xml:space="preserve">      </w:t>
      </w:r>
      <w:r>
        <w:rPr>
          <w:rFonts w:hint="eastAsia" w:ascii="宋体" w:hAnsi="宋体" w:eastAsia="宋体" w:cs="宋体"/>
          <w:color w:val="000000"/>
        </w:rPr>
        <w:t>万元</w:t>
      </w:r>
      <w:r>
        <w:rPr>
          <w:rFonts w:hint="eastAsia" w:ascii="宋体" w:hAnsi="宋体" w:eastAsia="宋体" w:cs="宋体"/>
          <w:color w:val="000000"/>
          <w:vertAlign w:val="superscript"/>
        </w:rPr>
        <w:t>1</w:t>
      </w:r>
      <w:r>
        <w:rPr>
          <w:rFonts w:hint="eastAsia" w:ascii="宋体" w:hAnsi="宋体" w:eastAsia="宋体" w:cs="宋体"/>
          <w:color w:val="000000"/>
        </w:rPr>
        <w:t>，属于</w:t>
      </w:r>
      <w:r>
        <w:rPr>
          <w:rFonts w:hint="eastAsia" w:ascii="宋体" w:hAnsi="宋体" w:eastAsia="宋体" w:cs="宋体"/>
          <w:color w:val="000000"/>
          <w:u w:val="single"/>
        </w:rPr>
        <w:t>（中型企业、小型企业、微型企业）；</w:t>
      </w:r>
    </w:p>
    <w:p w14:paraId="0AE1C054">
      <w:pPr>
        <w:pStyle w:val="13"/>
        <w:spacing w:beforeAutospacing="0" w:afterAutospacing="0" w:line="0" w:lineRule="atLeast"/>
        <w:ind w:firstLine="360"/>
        <w:jc w:val="both"/>
      </w:pPr>
      <w:r>
        <w:rPr>
          <w:rFonts w:hint="eastAsia" w:ascii="宋体" w:hAnsi="宋体" w:eastAsia="宋体" w:cs="宋体"/>
          <w:color w:val="000000"/>
        </w:rPr>
        <w:t>……</w:t>
      </w:r>
    </w:p>
    <w:p w14:paraId="1F436A93">
      <w:pPr>
        <w:pStyle w:val="13"/>
        <w:spacing w:beforeAutospacing="0" w:afterAutospacing="0" w:line="0" w:lineRule="atLeast"/>
        <w:ind w:firstLine="360"/>
        <w:jc w:val="both"/>
      </w:pPr>
      <w:r>
        <w:rPr>
          <w:rFonts w:hint="eastAsia" w:ascii="宋体" w:hAnsi="宋体" w:eastAsia="宋体" w:cs="宋体"/>
          <w:color w:val="000000"/>
        </w:rPr>
        <w:t>以上企业，不属于大企业的分支机构，不存在控股股东为大企业的情形，也不存在与大企业的负责人为同一人的情形。</w:t>
      </w:r>
    </w:p>
    <w:p w14:paraId="65F10323">
      <w:pPr>
        <w:pStyle w:val="13"/>
        <w:spacing w:beforeAutospacing="0" w:afterAutospacing="0" w:line="0" w:lineRule="atLeast"/>
        <w:ind w:firstLine="360"/>
        <w:jc w:val="both"/>
      </w:pPr>
      <w:r>
        <w:rPr>
          <w:rFonts w:hint="eastAsia" w:ascii="宋体" w:hAnsi="宋体" w:eastAsia="宋体" w:cs="宋体"/>
          <w:color w:val="000000"/>
        </w:rPr>
        <w:t>本企业对上述声明内容的真实性负责。如有虚假，将依法承担相应责任</w:t>
      </w:r>
    </w:p>
    <w:p w14:paraId="51384650">
      <w:pPr>
        <w:pStyle w:val="13"/>
        <w:spacing w:beforeAutospacing="0" w:afterAutospacing="0" w:line="0" w:lineRule="atLeast"/>
        <w:ind w:right="720"/>
        <w:jc w:val="both"/>
      </w:pPr>
      <w:r>
        <w:t> </w:t>
      </w:r>
    </w:p>
    <w:p w14:paraId="71F7CCA4">
      <w:pPr>
        <w:pStyle w:val="13"/>
        <w:spacing w:beforeAutospacing="0" w:afterAutospacing="0" w:line="0" w:lineRule="atLeast"/>
        <w:ind w:right="180" w:firstLine="360"/>
        <w:jc w:val="right"/>
      </w:pPr>
      <w:r>
        <w:rPr>
          <w:rFonts w:hint="eastAsia" w:ascii="宋体" w:hAnsi="宋体" w:eastAsia="宋体" w:cs="宋体"/>
          <w:color w:val="000000"/>
        </w:rPr>
        <w:t>企业名称（加盖CA电子公章）：</w:t>
      </w:r>
    </w:p>
    <w:p w14:paraId="65BA5F8E">
      <w:pPr>
        <w:pStyle w:val="13"/>
        <w:spacing w:beforeAutospacing="0" w:afterAutospacing="0" w:line="0" w:lineRule="atLeast"/>
        <w:ind w:right="480" w:firstLine="5400"/>
        <w:jc w:val="both"/>
      </w:pPr>
      <w:r>
        <w:rPr>
          <w:rFonts w:hint="eastAsia" w:ascii="宋体" w:hAnsi="宋体" w:eastAsia="宋体" w:cs="宋体"/>
          <w:color w:val="000000"/>
        </w:rPr>
        <w:t>日  期：</w:t>
      </w:r>
    </w:p>
    <w:p w14:paraId="0092F30F">
      <w:pPr>
        <w:pStyle w:val="13"/>
        <w:spacing w:beforeAutospacing="0" w:afterAutospacing="0" w:line="0" w:lineRule="atLeast"/>
        <w:ind w:firstLine="240"/>
        <w:jc w:val="both"/>
      </w:pPr>
      <w:r>
        <w:t> </w:t>
      </w:r>
    </w:p>
    <w:p w14:paraId="6E9A6A01">
      <w:pPr>
        <w:pStyle w:val="13"/>
        <w:spacing w:beforeAutospacing="0" w:afterAutospacing="0" w:line="0" w:lineRule="atLeast"/>
        <w:ind w:firstLine="480"/>
        <w:jc w:val="both"/>
      </w:pPr>
      <w:r>
        <w:rPr>
          <w:rFonts w:hint="eastAsia" w:ascii="宋体" w:hAnsi="宋体" w:eastAsia="宋体" w:cs="宋体"/>
          <w:color w:val="000000"/>
        </w:rPr>
        <w:t>备注1：从业人员、营业收入、资产总额填报上一年度数据，无上一年度数据的新成立企业可不填报。</w:t>
      </w:r>
    </w:p>
    <w:p w14:paraId="77DD91D8">
      <w:pPr>
        <w:pStyle w:val="13"/>
        <w:spacing w:beforeAutospacing="0" w:afterAutospacing="0" w:line="0" w:lineRule="atLeast"/>
        <w:ind w:firstLine="480"/>
        <w:jc w:val="both"/>
      </w:pPr>
      <w:r>
        <w:rPr>
          <w:rFonts w:hint="eastAsia" w:ascii="宋体" w:hAnsi="宋体" w:eastAsia="宋体" w:cs="宋体"/>
          <w:color w:val="000000"/>
        </w:rPr>
        <w:t>备注2：供应商如不提供此声明函，价格将不做相应扣除（如项目全面面向中小企业，则资格审查不通过）。</w:t>
      </w:r>
    </w:p>
    <w:p w14:paraId="018337B7">
      <w:pPr>
        <w:pStyle w:val="13"/>
        <w:spacing w:beforeAutospacing="0" w:afterAutospacing="0" w:line="0" w:lineRule="atLeast"/>
        <w:jc w:val="center"/>
      </w:pPr>
      <w:r>
        <w:rPr>
          <w:rFonts w:hint="eastAsia" w:ascii="黑体" w:hAnsi="宋体" w:eastAsia="黑体" w:cs="黑体"/>
          <w:b/>
          <w:color w:val="000000"/>
          <w:sz w:val="32"/>
          <w:szCs w:val="32"/>
        </w:rPr>
        <w:br w:type="page"/>
      </w:r>
      <w:r>
        <w:rPr>
          <w:rFonts w:hint="eastAsia" w:ascii="黑体" w:hAnsi="宋体" w:eastAsia="黑体" w:cs="黑体"/>
          <w:b/>
          <w:color w:val="000000"/>
          <w:sz w:val="32"/>
          <w:szCs w:val="32"/>
        </w:rPr>
        <w:t> 十、残疾人福利性单位声明函（分包号：**）</w:t>
      </w:r>
    </w:p>
    <w:p w14:paraId="25B44765">
      <w:pPr>
        <w:pStyle w:val="13"/>
        <w:spacing w:beforeAutospacing="0" w:afterAutospacing="0" w:line="0" w:lineRule="atLeast"/>
        <w:ind w:firstLine="480"/>
        <w:jc w:val="both"/>
      </w:pPr>
      <w:r>
        <w:rPr>
          <w:rFonts w:hint="eastAsia" w:ascii="宋体" w:hAnsi="宋体" w:eastAsia="宋体" w:cs="宋体"/>
          <w:color w:val="000000"/>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项目（分包号：**）采购活动由本单位提供服务。</w:t>
      </w:r>
    </w:p>
    <w:p w14:paraId="5DB2323C">
      <w:pPr>
        <w:pStyle w:val="13"/>
        <w:spacing w:beforeAutospacing="0" w:afterAutospacing="0" w:line="0" w:lineRule="atLeast"/>
        <w:ind w:firstLine="480"/>
        <w:jc w:val="both"/>
      </w:pPr>
      <w:r>
        <w:rPr>
          <w:rFonts w:hint="eastAsia" w:ascii="宋体" w:hAnsi="宋体" w:eastAsia="宋体" w:cs="宋体"/>
          <w:color w:val="000000"/>
        </w:rPr>
        <w:t>本单位对上述声明的真实性负责。如有虚假，将依法承担相应责任。</w:t>
      </w:r>
    </w:p>
    <w:p w14:paraId="3DBE724C">
      <w:pPr>
        <w:pStyle w:val="13"/>
        <w:spacing w:beforeAutospacing="0" w:afterAutospacing="0" w:line="0" w:lineRule="atLeast"/>
        <w:ind w:firstLine="480"/>
        <w:jc w:val="both"/>
      </w:pPr>
      <w:r>
        <w:t> </w:t>
      </w:r>
    </w:p>
    <w:p w14:paraId="0BA697CE">
      <w:pPr>
        <w:pStyle w:val="13"/>
        <w:spacing w:beforeAutospacing="0" w:afterAutospacing="0" w:line="0" w:lineRule="atLeast"/>
        <w:ind w:firstLine="480"/>
        <w:jc w:val="both"/>
        <w:rPr>
          <w:rFonts w:eastAsia="宋体"/>
        </w:rPr>
      </w:pPr>
      <w:r>
        <w:rPr>
          <w:rFonts w:hint="eastAsia" w:ascii="宋体" w:hAnsi="宋体" w:eastAsia="宋体" w:cs="宋体"/>
          <w:color w:val="000000"/>
        </w:rPr>
        <w:t>备注：1、供应商如不提供此声明函，价格将不做相应扣除（如项目全面面向中小企业，则资格审查不通过）。</w:t>
      </w:r>
    </w:p>
    <w:p w14:paraId="5C90D39D">
      <w:pPr>
        <w:pStyle w:val="13"/>
        <w:spacing w:beforeAutospacing="0" w:afterAutospacing="0" w:line="0" w:lineRule="atLeast"/>
        <w:ind w:firstLine="480"/>
        <w:jc w:val="both"/>
      </w:pPr>
      <w:r>
        <w:rPr>
          <w:rFonts w:hint="eastAsia" w:ascii="宋体" w:hAnsi="宋体" w:eastAsia="宋体" w:cs="宋体"/>
          <w:color w:val="000000"/>
        </w:rPr>
        <w:t>2、中标人为残疾人福利单位的，此声明函将随中标结果同时公告，接受社会监督</w:t>
      </w:r>
    </w:p>
    <w:p w14:paraId="5CCAF47B">
      <w:pPr>
        <w:pStyle w:val="13"/>
        <w:spacing w:beforeAutospacing="0" w:afterAutospacing="0" w:line="0" w:lineRule="atLeast"/>
        <w:ind w:firstLine="624"/>
        <w:jc w:val="both"/>
      </w:pPr>
      <w:r>
        <w:t> </w:t>
      </w:r>
    </w:p>
    <w:p w14:paraId="755B988B">
      <w:pPr>
        <w:pStyle w:val="13"/>
        <w:tabs>
          <w:tab w:val="left" w:pos="4864"/>
        </w:tabs>
        <w:spacing w:beforeAutospacing="0" w:afterAutospacing="0" w:line="0" w:lineRule="atLeast"/>
        <w:ind w:right="1560" w:firstLine="624"/>
        <w:jc w:val="center"/>
      </w:pPr>
      <w:r>
        <w:rPr>
          <w:rFonts w:ascii="仿宋_GB2312" w:eastAsia="仿宋_GB2312" w:cs="仿宋_GB2312"/>
          <w:color w:val="000000"/>
          <w:sz w:val="30"/>
          <w:szCs w:val="30"/>
        </w:rPr>
        <w:t xml:space="preserve">             </w:t>
      </w:r>
      <w:r>
        <w:rPr>
          <w:rFonts w:hint="eastAsia" w:ascii="宋体" w:hAnsi="宋体" w:eastAsia="宋体" w:cs="宋体"/>
          <w:color w:val="000000"/>
        </w:rPr>
        <w:t>          供应商全称（加盖CA电子公章）：</w:t>
      </w:r>
    </w:p>
    <w:p w14:paraId="21EAFACA">
      <w:pPr>
        <w:pStyle w:val="13"/>
        <w:tabs>
          <w:tab w:val="left" w:pos="4864"/>
        </w:tabs>
        <w:spacing w:beforeAutospacing="0" w:afterAutospacing="0" w:line="0" w:lineRule="atLeast"/>
        <w:ind w:right="1560" w:firstLine="480"/>
        <w:jc w:val="center"/>
      </w:pPr>
      <w:r>
        <w:rPr>
          <w:rFonts w:hint="eastAsia" w:ascii="宋体" w:hAnsi="宋体" w:eastAsia="宋体" w:cs="宋体"/>
          <w:color w:val="000000"/>
        </w:rPr>
        <w:t>        日  期：</w:t>
      </w:r>
    </w:p>
    <w:p w14:paraId="765FE505">
      <w:pPr>
        <w:pStyle w:val="13"/>
        <w:spacing w:beforeAutospacing="0" w:afterAutospacing="0" w:line="0" w:lineRule="atLeast"/>
        <w:jc w:val="center"/>
      </w:pPr>
      <w:r>
        <w:t> </w:t>
      </w:r>
    </w:p>
    <w:p w14:paraId="69AB4CEA">
      <w:pPr>
        <w:pStyle w:val="13"/>
        <w:spacing w:beforeAutospacing="0" w:afterAutospacing="0" w:line="0" w:lineRule="atLeast"/>
        <w:jc w:val="center"/>
      </w:pPr>
      <w:r>
        <w:t> </w:t>
      </w:r>
    </w:p>
    <w:p w14:paraId="50415C9F">
      <w:pPr>
        <w:pStyle w:val="13"/>
        <w:spacing w:beforeAutospacing="0" w:afterAutospacing="0" w:line="0" w:lineRule="atLeast"/>
        <w:jc w:val="center"/>
      </w:pPr>
      <w:r>
        <w:t> </w:t>
      </w:r>
    </w:p>
    <w:p w14:paraId="0E96D9D2">
      <w:pPr>
        <w:pStyle w:val="13"/>
        <w:spacing w:beforeAutospacing="0" w:afterAutospacing="0" w:line="0" w:lineRule="atLeast"/>
        <w:jc w:val="center"/>
      </w:pPr>
      <w:r>
        <w:t> </w:t>
      </w:r>
    </w:p>
    <w:p w14:paraId="3019B152">
      <w:pPr>
        <w:pStyle w:val="13"/>
        <w:spacing w:beforeAutospacing="0" w:afterAutospacing="0" w:line="0" w:lineRule="atLeast"/>
        <w:jc w:val="center"/>
      </w:pPr>
      <w:r>
        <w:t> </w:t>
      </w:r>
    </w:p>
    <w:p w14:paraId="6190891F">
      <w:pPr>
        <w:pStyle w:val="13"/>
        <w:spacing w:beforeAutospacing="0" w:afterAutospacing="0" w:line="0" w:lineRule="atLeast"/>
        <w:jc w:val="center"/>
      </w:pPr>
      <w:r>
        <w:t> </w:t>
      </w:r>
    </w:p>
    <w:p w14:paraId="2A65B226">
      <w:pPr>
        <w:pStyle w:val="13"/>
        <w:spacing w:beforeAutospacing="0" w:afterAutospacing="0" w:line="0" w:lineRule="atLeast"/>
        <w:jc w:val="center"/>
      </w:pPr>
      <w:r>
        <w:t> </w:t>
      </w:r>
    </w:p>
    <w:p w14:paraId="65CCB5CF">
      <w:pPr>
        <w:pStyle w:val="13"/>
        <w:spacing w:beforeAutospacing="0" w:afterAutospacing="0" w:line="0" w:lineRule="atLeast"/>
        <w:jc w:val="center"/>
      </w:pPr>
      <w:r>
        <w:t> </w:t>
      </w:r>
    </w:p>
    <w:p w14:paraId="1B8A3E5A">
      <w:pPr>
        <w:pStyle w:val="13"/>
        <w:spacing w:beforeAutospacing="0" w:afterAutospacing="0" w:line="0" w:lineRule="atLeast"/>
        <w:jc w:val="center"/>
      </w:pPr>
    </w:p>
    <w:p w14:paraId="3F600E46">
      <w:pPr>
        <w:pStyle w:val="13"/>
        <w:spacing w:beforeAutospacing="0" w:afterAutospacing="0" w:line="0" w:lineRule="atLeast"/>
        <w:jc w:val="center"/>
      </w:pPr>
    </w:p>
    <w:p w14:paraId="57F3F56B">
      <w:pPr>
        <w:pStyle w:val="13"/>
        <w:spacing w:beforeAutospacing="0" w:afterAutospacing="0" w:line="0" w:lineRule="atLeast"/>
        <w:jc w:val="center"/>
      </w:pPr>
    </w:p>
    <w:p w14:paraId="1FE43C18">
      <w:pPr>
        <w:pStyle w:val="13"/>
        <w:spacing w:beforeAutospacing="0" w:afterAutospacing="0" w:line="0" w:lineRule="atLeast"/>
        <w:jc w:val="center"/>
      </w:pPr>
    </w:p>
    <w:p w14:paraId="4C8477C0">
      <w:pPr>
        <w:pStyle w:val="13"/>
        <w:spacing w:beforeAutospacing="0" w:afterAutospacing="0" w:line="0" w:lineRule="atLeast"/>
        <w:jc w:val="center"/>
      </w:pPr>
    </w:p>
    <w:p w14:paraId="0BAE8B38">
      <w:pPr>
        <w:pStyle w:val="13"/>
        <w:spacing w:beforeAutospacing="0" w:afterAutospacing="0" w:line="0" w:lineRule="atLeast"/>
        <w:jc w:val="center"/>
      </w:pPr>
    </w:p>
    <w:p w14:paraId="56B00D8C">
      <w:pPr>
        <w:pStyle w:val="13"/>
        <w:spacing w:beforeAutospacing="0" w:afterAutospacing="0" w:line="0" w:lineRule="atLeast"/>
        <w:jc w:val="center"/>
      </w:pPr>
    </w:p>
    <w:p w14:paraId="5329A207">
      <w:pPr>
        <w:pStyle w:val="13"/>
        <w:spacing w:beforeAutospacing="0" w:afterAutospacing="0" w:line="0" w:lineRule="atLeast"/>
        <w:jc w:val="center"/>
      </w:pPr>
    </w:p>
    <w:p w14:paraId="7B29A280">
      <w:pPr>
        <w:pStyle w:val="13"/>
        <w:spacing w:beforeAutospacing="0" w:afterAutospacing="0" w:line="0" w:lineRule="atLeast"/>
        <w:jc w:val="center"/>
      </w:pPr>
    </w:p>
    <w:p w14:paraId="217C4F43">
      <w:pPr>
        <w:pStyle w:val="13"/>
        <w:spacing w:beforeAutospacing="0" w:afterAutospacing="0" w:line="0" w:lineRule="atLeast"/>
        <w:jc w:val="center"/>
      </w:pPr>
    </w:p>
    <w:p w14:paraId="7CFB47D6">
      <w:pPr>
        <w:pStyle w:val="13"/>
        <w:spacing w:beforeAutospacing="0" w:afterAutospacing="0" w:line="0" w:lineRule="atLeast"/>
        <w:jc w:val="center"/>
      </w:pPr>
    </w:p>
    <w:p w14:paraId="7ACBEB03">
      <w:pPr>
        <w:pStyle w:val="13"/>
        <w:spacing w:beforeAutospacing="0" w:afterAutospacing="0" w:line="0" w:lineRule="atLeast"/>
        <w:jc w:val="center"/>
      </w:pPr>
    </w:p>
    <w:p w14:paraId="2EC2D52A">
      <w:pPr>
        <w:pStyle w:val="13"/>
        <w:spacing w:beforeAutospacing="0" w:afterAutospacing="0" w:line="0" w:lineRule="atLeast"/>
        <w:jc w:val="center"/>
      </w:pPr>
    </w:p>
    <w:p w14:paraId="3EE5377E">
      <w:pPr>
        <w:pStyle w:val="13"/>
        <w:spacing w:beforeAutospacing="0" w:afterAutospacing="0" w:line="0" w:lineRule="atLeast"/>
        <w:jc w:val="center"/>
      </w:pPr>
    </w:p>
    <w:p w14:paraId="0FC50F8B">
      <w:pPr>
        <w:pStyle w:val="13"/>
        <w:spacing w:beforeAutospacing="0" w:afterAutospacing="0" w:line="0" w:lineRule="atLeast"/>
        <w:jc w:val="center"/>
      </w:pPr>
    </w:p>
    <w:p w14:paraId="03470313">
      <w:pPr>
        <w:pStyle w:val="13"/>
        <w:spacing w:beforeAutospacing="0" w:afterAutospacing="0" w:line="0" w:lineRule="atLeast"/>
        <w:jc w:val="center"/>
      </w:pPr>
    </w:p>
    <w:p w14:paraId="6A683B8F">
      <w:pPr>
        <w:pStyle w:val="13"/>
        <w:spacing w:beforeAutospacing="0" w:afterAutospacing="0" w:line="0" w:lineRule="atLeast"/>
        <w:jc w:val="center"/>
      </w:pPr>
    </w:p>
    <w:p w14:paraId="3D938362">
      <w:pPr>
        <w:pStyle w:val="13"/>
        <w:spacing w:beforeAutospacing="0" w:afterAutospacing="0" w:line="0" w:lineRule="atLeast"/>
        <w:jc w:val="center"/>
      </w:pPr>
    </w:p>
    <w:p w14:paraId="776A012D">
      <w:pPr>
        <w:pStyle w:val="13"/>
        <w:spacing w:beforeAutospacing="0" w:afterAutospacing="0" w:line="0" w:lineRule="atLeast"/>
        <w:jc w:val="center"/>
      </w:pPr>
    </w:p>
    <w:p w14:paraId="2A108449">
      <w:pPr>
        <w:pStyle w:val="13"/>
        <w:spacing w:beforeAutospacing="0" w:afterAutospacing="0" w:line="0" w:lineRule="atLeast"/>
        <w:jc w:val="center"/>
      </w:pPr>
    </w:p>
    <w:p w14:paraId="238160F2">
      <w:pPr>
        <w:pStyle w:val="13"/>
        <w:spacing w:beforeAutospacing="0" w:afterAutospacing="0" w:line="0" w:lineRule="atLeast"/>
        <w:jc w:val="center"/>
      </w:pPr>
      <w:r>
        <w:t> </w:t>
      </w:r>
    </w:p>
    <w:p w14:paraId="2D8B6EB5">
      <w:pPr>
        <w:pStyle w:val="13"/>
        <w:spacing w:beforeAutospacing="0" w:afterAutospacing="0" w:line="0" w:lineRule="atLeast"/>
        <w:jc w:val="center"/>
      </w:pPr>
      <w:r>
        <w:t> </w:t>
      </w:r>
    </w:p>
    <w:p w14:paraId="3389225D">
      <w:pPr>
        <w:pStyle w:val="13"/>
        <w:spacing w:beforeAutospacing="0" w:afterAutospacing="0" w:line="0" w:lineRule="atLeast"/>
        <w:jc w:val="center"/>
      </w:pPr>
      <w:r>
        <w:t> </w:t>
      </w:r>
    </w:p>
    <w:p w14:paraId="12F41CBA">
      <w:pPr>
        <w:jc w:val="center"/>
        <w:outlineLvl w:val="1"/>
        <w:rPr>
          <w:rFonts w:ascii="黑体" w:hAnsi="宋体" w:eastAsia="黑体" w:cs="黑体"/>
          <w:b/>
          <w:color w:val="000000"/>
          <w:kern w:val="0"/>
          <w:sz w:val="32"/>
          <w:szCs w:val="32"/>
        </w:rPr>
      </w:pPr>
      <w:bookmarkStart w:id="192" w:name="_Hlt26955054"/>
      <w:bookmarkStart w:id="193" w:name="_Hlt26609389"/>
      <w:bookmarkStart w:id="194" w:name="_Toc462564146"/>
      <w:bookmarkStart w:id="195" w:name="_Hlt26955066"/>
      <w:bookmarkStart w:id="196" w:name="_格式2__法定代表人授权书"/>
      <w:bookmarkStart w:id="197" w:name="_Hlt26671374"/>
      <w:r>
        <w:rPr>
          <w:rFonts w:hint="eastAsia" w:ascii="黑体" w:hAnsi="宋体" w:eastAsia="黑体" w:cs="黑体"/>
          <w:b/>
          <w:color w:val="000000"/>
          <w:kern w:val="0"/>
          <w:sz w:val="32"/>
          <w:szCs w:val="32"/>
        </w:rPr>
        <w:t> 十一、资格性审查响应对照表</w:t>
      </w:r>
    </w:p>
    <w:tbl>
      <w:tblPr>
        <w:tblStyle w:val="16"/>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7460"/>
        <w:gridCol w:w="880"/>
        <w:gridCol w:w="572"/>
      </w:tblGrid>
      <w:tr w14:paraId="6D07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657F9ABE">
            <w:pPr>
              <w:snapToGrid w:val="0"/>
              <w:spacing w:line="240" w:lineRule="atLeast"/>
              <w:jc w:val="center"/>
              <w:rPr>
                <w:rFonts w:ascii="幼圆" w:eastAsia="幼圆"/>
                <w:b/>
              </w:rPr>
            </w:pPr>
            <w:r>
              <w:rPr>
                <w:rFonts w:hint="eastAsia" w:ascii="幼圆" w:eastAsia="幼圆"/>
                <w:b/>
              </w:rPr>
              <w:t>序号</w:t>
            </w:r>
          </w:p>
        </w:tc>
        <w:tc>
          <w:tcPr>
            <w:tcW w:w="7460" w:type="dxa"/>
            <w:vAlign w:val="center"/>
          </w:tcPr>
          <w:p w14:paraId="15EA585A">
            <w:pPr>
              <w:snapToGrid w:val="0"/>
              <w:spacing w:line="240" w:lineRule="atLeast"/>
              <w:jc w:val="center"/>
              <w:rPr>
                <w:rFonts w:ascii="幼圆" w:eastAsia="幼圆"/>
                <w:b/>
              </w:rPr>
            </w:pPr>
            <w:r>
              <w:rPr>
                <w:rFonts w:hint="eastAsia" w:ascii="幼圆" w:eastAsia="幼圆"/>
                <w:b/>
              </w:rPr>
              <w:t>资格性审查响应内容</w:t>
            </w:r>
          </w:p>
        </w:tc>
        <w:tc>
          <w:tcPr>
            <w:tcW w:w="880" w:type="dxa"/>
            <w:vAlign w:val="center"/>
          </w:tcPr>
          <w:p w14:paraId="42ECED83">
            <w:pPr>
              <w:snapToGrid w:val="0"/>
              <w:spacing w:line="240" w:lineRule="atLeast"/>
              <w:jc w:val="center"/>
              <w:rPr>
                <w:rFonts w:ascii="幼圆" w:eastAsia="幼圆"/>
                <w:b/>
              </w:rPr>
            </w:pPr>
            <w:r>
              <w:rPr>
                <w:rFonts w:hint="eastAsia" w:ascii="幼圆" w:eastAsia="幼圆"/>
                <w:b/>
              </w:rPr>
              <w:t>是否响应</w:t>
            </w:r>
          </w:p>
          <w:p w14:paraId="550F8B24">
            <w:pPr>
              <w:snapToGrid w:val="0"/>
              <w:spacing w:line="240" w:lineRule="atLeast"/>
              <w:jc w:val="center"/>
              <w:rPr>
                <w:rFonts w:ascii="幼圆" w:eastAsia="幼圆"/>
                <w:b/>
              </w:rPr>
            </w:pPr>
            <w:r>
              <w:rPr>
                <w:rFonts w:hint="eastAsia" w:ascii="幼圆" w:eastAsia="幼圆"/>
                <w:b/>
              </w:rPr>
              <w:t>（填是或者否）</w:t>
            </w:r>
          </w:p>
        </w:tc>
        <w:tc>
          <w:tcPr>
            <w:tcW w:w="572" w:type="dxa"/>
            <w:vAlign w:val="center"/>
          </w:tcPr>
          <w:p w14:paraId="32E47DCC">
            <w:pPr>
              <w:snapToGrid w:val="0"/>
              <w:spacing w:line="240" w:lineRule="atLeast"/>
              <w:jc w:val="center"/>
              <w:rPr>
                <w:rFonts w:ascii="幼圆" w:eastAsia="幼圆"/>
                <w:b/>
              </w:rPr>
            </w:pPr>
            <w:r>
              <w:rPr>
                <w:rFonts w:hint="eastAsia" w:ascii="幼圆" w:eastAsia="幼圆"/>
                <w:b/>
              </w:rPr>
              <w:t>备注</w:t>
            </w:r>
          </w:p>
        </w:tc>
      </w:tr>
      <w:tr w14:paraId="074DF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891AFB1">
            <w:pPr>
              <w:spacing w:line="480" w:lineRule="exact"/>
              <w:rPr>
                <w:rFonts w:hAnsi="宋体"/>
                <w:iCs/>
                <w:szCs w:val="21"/>
              </w:rPr>
            </w:pPr>
            <w:r>
              <w:rPr>
                <w:rFonts w:hint="eastAsia" w:hAnsi="宋体"/>
                <w:iCs/>
                <w:szCs w:val="21"/>
              </w:rPr>
              <w:t>1</w:t>
            </w:r>
          </w:p>
        </w:tc>
        <w:tc>
          <w:tcPr>
            <w:tcW w:w="7460" w:type="dxa"/>
            <w:vAlign w:val="center"/>
          </w:tcPr>
          <w:p w14:paraId="481F8D06">
            <w:pPr>
              <w:spacing w:line="480" w:lineRule="exact"/>
              <w:rPr>
                <w:rFonts w:hAnsi="宋体"/>
                <w:iCs/>
                <w:szCs w:val="21"/>
              </w:rPr>
            </w:pPr>
            <w:r>
              <w:rPr>
                <w:rFonts w:hint="eastAsia" w:hAnsi="宋体"/>
                <w:iCs/>
                <w:szCs w:val="21"/>
              </w:rPr>
              <w:t>提供营业执照</w:t>
            </w:r>
          </w:p>
        </w:tc>
        <w:tc>
          <w:tcPr>
            <w:tcW w:w="880" w:type="dxa"/>
            <w:vAlign w:val="center"/>
          </w:tcPr>
          <w:p w14:paraId="53D64606">
            <w:pPr>
              <w:spacing w:line="480" w:lineRule="exact"/>
              <w:rPr>
                <w:rFonts w:hAnsi="宋体"/>
                <w:iCs/>
                <w:szCs w:val="21"/>
              </w:rPr>
            </w:pPr>
          </w:p>
        </w:tc>
        <w:tc>
          <w:tcPr>
            <w:tcW w:w="572" w:type="dxa"/>
            <w:vAlign w:val="center"/>
          </w:tcPr>
          <w:p w14:paraId="33BD39C6">
            <w:pPr>
              <w:spacing w:line="480" w:lineRule="exact"/>
              <w:rPr>
                <w:rFonts w:hAnsi="宋体"/>
                <w:iCs/>
                <w:szCs w:val="21"/>
              </w:rPr>
            </w:pPr>
          </w:p>
        </w:tc>
      </w:tr>
      <w:tr w14:paraId="4AF73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558E4B2C">
            <w:pPr>
              <w:spacing w:line="480" w:lineRule="exact"/>
              <w:rPr>
                <w:rFonts w:hAnsi="宋体"/>
                <w:iCs/>
                <w:szCs w:val="21"/>
              </w:rPr>
            </w:pPr>
            <w:r>
              <w:rPr>
                <w:rFonts w:hint="eastAsia" w:hAnsi="宋体"/>
                <w:iCs/>
                <w:szCs w:val="21"/>
              </w:rPr>
              <w:t>2</w:t>
            </w:r>
          </w:p>
        </w:tc>
        <w:tc>
          <w:tcPr>
            <w:tcW w:w="7460" w:type="dxa"/>
            <w:vAlign w:val="center"/>
          </w:tcPr>
          <w:p w14:paraId="1F1AE235">
            <w:pPr>
              <w:spacing w:line="480" w:lineRule="exact"/>
              <w:rPr>
                <w:rFonts w:hAnsi="宋体"/>
                <w:iCs/>
                <w:szCs w:val="21"/>
              </w:rPr>
            </w:pPr>
            <w:r>
              <w:rPr>
                <w:rFonts w:hint="eastAsia" w:hAnsi="宋体"/>
                <w:iCs/>
                <w:szCs w:val="21"/>
              </w:rPr>
              <w:t>年度财务状况报告或本年度近期月度财务报表</w:t>
            </w:r>
          </w:p>
        </w:tc>
        <w:tc>
          <w:tcPr>
            <w:tcW w:w="880" w:type="dxa"/>
            <w:vAlign w:val="center"/>
          </w:tcPr>
          <w:p w14:paraId="7FD05C81">
            <w:pPr>
              <w:spacing w:line="480" w:lineRule="exact"/>
              <w:rPr>
                <w:rFonts w:hAnsi="宋体"/>
                <w:iCs/>
                <w:szCs w:val="21"/>
              </w:rPr>
            </w:pPr>
          </w:p>
        </w:tc>
        <w:tc>
          <w:tcPr>
            <w:tcW w:w="572" w:type="dxa"/>
            <w:vAlign w:val="center"/>
          </w:tcPr>
          <w:p w14:paraId="43E9D398">
            <w:pPr>
              <w:spacing w:line="480" w:lineRule="exact"/>
              <w:rPr>
                <w:rFonts w:hAnsi="宋体"/>
                <w:iCs/>
                <w:szCs w:val="21"/>
              </w:rPr>
            </w:pPr>
          </w:p>
        </w:tc>
      </w:tr>
      <w:tr w14:paraId="62C44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31437475">
            <w:pPr>
              <w:spacing w:line="480" w:lineRule="exact"/>
              <w:rPr>
                <w:rFonts w:hAnsi="宋体"/>
                <w:iCs/>
                <w:szCs w:val="21"/>
              </w:rPr>
            </w:pPr>
            <w:r>
              <w:rPr>
                <w:rFonts w:hint="eastAsia" w:hAnsi="宋体"/>
                <w:iCs/>
                <w:szCs w:val="21"/>
              </w:rPr>
              <w:t>3</w:t>
            </w:r>
          </w:p>
        </w:tc>
        <w:tc>
          <w:tcPr>
            <w:tcW w:w="7460" w:type="dxa"/>
            <w:vAlign w:val="center"/>
          </w:tcPr>
          <w:p w14:paraId="2C167573">
            <w:pPr>
              <w:spacing w:line="480" w:lineRule="exact"/>
              <w:rPr>
                <w:rFonts w:hAnsi="宋体"/>
                <w:iCs/>
                <w:szCs w:val="21"/>
              </w:rPr>
            </w:pPr>
            <w:r>
              <w:rPr>
                <w:rFonts w:hint="eastAsia" w:hAnsi="宋体"/>
                <w:iCs/>
                <w:szCs w:val="21"/>
              </w:rPr>
              <w:t>本年度近期依法缴纳税费凭证</w:t>
            </w:r>
          </w:p>
        </w:tc>
        <w:tc>
          <w:tcPr>
            <w:tcW w:w="880" w:type="dxa"/>
            <w:vAlign w:val="center"/>
          </w:tcPr>
          <w:p w14:paraId="67583DF1">
            <w:pPr>
              <w:spacing w:line="480" w:lineRule="exact"/>
              <w:rPr>
                <w:rFonts w:hAnsi="宋体"/>
                <w:iCs/>
                <w:szCs w:val="21"/>
              </w:rPr>
            </w:pPr>
          </w:p>
        </w:tc>
        <w:tc>
          <w:tcPr>
            <w:tcW w:w="572" w:type="dxa"/>
            <w:vAlign w:val="center"/>
          </w:tcPr>
          <w:p w14:paraId="13F83BB8">
            <w:pPr>
              <w:spacing w:line="480" w:lineRule="exact"/>
              <w:rPr>
                <w:rFonts w:hAnsi="宋体"/>
                <w:iCs/>
                <w:szCs w:val="21"/>
              </w:rPr>
            </w:pPr>
          </w:p>
        </w:tc>
      </w:tr>
      <w:tr w14:paraId="4DF28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646" w:type="dxa"/>
            <w:vAlign w:val="center"/>
          </w:tcPr>
          <w:p w14:paraId="387C1409">
            <w:pPr>
              <w:spacing w:line="480" w:lineRule="exact"/>
              <w:rPr>
                <w:rFonts w:hAnsi="宋体"/>
                <w:iCs/>
                <w:szCs w:val="21"/>
              </w:rPr>
            </w:pPr>
            <w:r>
              <w:rPr>
                <w:rFonts w:hint="eastAsia" w:hAnsi="宋体"/>
                <w:iCs/>
                <w:szCs w:val="21"/>
              </w:rPr>
              <w:t>4</w:t>
            </w:r>
          </w:p>
        </w:tc>
        <w:tc>
          <w:tcPr>
            <w:tcW w:w="7460" w:type="dxa"/>
            <w:vAlign w:val="center"/>
          </w:tcPr>
          <w:p w14:paraId="5CFFB2E7">
            <w:pPr>
              <w:spacing w:line="480" w:lineRule="exact"/>
              <w:rPr>
                <w:rFonts w:hAnsi="宋体"/>
                <w:iCs/>
                <w:szCs w:val="21"/>
              </w:rPr>
            </w:pPr>
            <w:r>
              <w:rPr>
                <w:rFonts w:hint="eastAsia" w:hAnsi="宋体"/>
                <w:iCs/>
                <w:szCs w:val="21"/>
              </w:rPr>
              <w:t>本年度近期依法缴纳社保费的凭证</w:t>
            </w:r>
          </w:p>
        </w:tc>
        <w:tc>
          <w:tcPr>
            <w:tcW w:w="880" w:type="dxa"/>
            <w:vAlign w:val="center"/>
          </w:tcPr>
          <w:p w14:paraId="31F8779A">
            <w:pPr>
              <w:spacing w:line="480" w:lineRule="exact"/>
              <w:rPr>
                <w:rFonts w:hAnsi="宋体"/>
                <w:iCs/>
                <w:szCs w:val="21"/>
              </w:rPr>
            </w:pPr>
          </w:p>
        </w:tc>
        <w:tc>
          <w:tcPr>
            <w:tcW w:w="572" w:type="dxa"/>
            <w:vAlign w:val="center"/>
          </w:tcPr>
          <w:p w14:paraId="5B18D11D">
            <w:pPr>
              <w:spacing w:line="480" w:lineRule="exact"/>
              <w:rPr>
                <w:rFonts w:hAnsi="宋体"/>
                <w:iCs/>
                <w:szCs w:val="21"/>
              </w:rPr>
            </w:pPr>
          </w:p>
        </w:tc>
      </w:tr>
      <w:tr w14:paraId="447B4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70945237">
            <w:pPr>
              <w:spacing w:line="480" w:lineRule="exact"/>
              <w:rPr>
                <w:rFonts w:hAnsi="宋体"/>
                <w:iCs/>
                <w:szCs w:val="21"/>
              </w:rPr>
            </w:pPr>
            <w:r>
              <w:rPr>
                <w:rFonts w:hint="eastAsia" w:hAnsi="宋体"/>
                <w:iCs/>
                <w:szCs w:val="21"/>
              </w:rPr>
              <w:t>5</w:t>
            </w:r>
          </w:p>
        </w:tc>
        <w:tc>
          <w:tcPr>
            <w:tcW w:w="7460" w:type="dxa"/>
            <w:vAlign w:val="center"/>
          </w:tcPr>
          <w:p w14:paraId="5709A6B3">
            <w:pPr>
              <w:spacing w:line="480" w:lineRule="exact"/>
              <w:rPr>
                <w:rFonts w:hAnsi="宋体"/>
                <w:iCs/>
                <w:szCs w:val="21"/>
              </w:rPr>
            </w:pPr>
            <w:r>
              <w:rPr>
                <w:rFonts w:hint="eastAsia" w:hAnsi="宋体"/>
                <w:iCs/>
                <w:szCs w:val="21"/>
              </w:rPr>
              <w:t>具备履行合同所必需的设备和专业技术能力的书面声明；</w:t>
            </w:r>
          </w:p>
        </w:tc>
        <w:tc>
          <w:tcPr>
            <w:tcW w:w="880" w:type="dxa"/>
            <w:vAlign w:val="center"/>
          </w:tcPr>
          <w:p w14:paraId="0B917372">
            <w:pPr>
              <w:spacing w:line="480" w:lineRule="exact"/>
              <w:rPr>
                <w:rFonts w:hAnsi="宋体"/>
                <w:iCs/>
                <w:szCs w:val="21"/>
              </w:rPr>
            </w:pPr>
          </w:p>
        </w:tc>
        <w:tc>
          <w:tcPr>
            <w:tcW w:w="572" w:type="dxa"/>
            <w:vAlign w:val="center"/>
          </w:tcPr>
          <w:p w14:paraId="0FB9EC81">
            <w:pPr>
              <w:spacing w:line="480" w:lineRule="exact"/>
              <w:rPr>
                <w:rFonts w:hAnsi="宋体"/>
                <w:iCs/>
                <w:szCs w:val="21"/>
              </w:rPr>
            </w:pPr>
          </w:p>
        </w:tc>
      </w:tr>
      <w:tr w14:paraId="4AD28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4479FD40">
            <w:pPr>
              <w:spacing w:line="480" w:lineRule="exact"/>
              <w:rPr>
                <w:rFonts w:hAnsi="宋体"/>
                <w:iCs/>
                <w:szCs w:val="21"/>
              </w:rPr>
            </w:pPr>
            <w:r>
              <w:rPr>
                <w:rFonts w:hint="eastAsia" w:hAnsi="宋体"/>
                <w:iCs/>
                <w:szCs w:val="21"/>
              </w:rPr>
              <w:t>6</w:t>
            </w:r>
          </w:p>
        </w:tc>
        <w:tc>
          <w:tcPr>
            <w:tcW w:w="7460" w:type="dxa"/>
            <w:vAlign w:val="center"/>
          </w:tcPr>
          <w:p w14:paraId="4F8CC22A">
            <w:pPr>
              <w:spacing w:line="480" w:lineRule="exact"/>
              <w:rPr>
                <w:rFonts w:hAnsi="宋体"/>
                <w:iCs/>
                <w:szCs w:val="21"/>
              </w:rPr>
            </w:pPr>
            <w:r>
              <w:rPr>
                <w:rFonts w:hint="eastAsia" w:hAnsi="宋体"/>
                <w:iCs/>
                <w:szCs w:val="21"/>
              </w:rPr>
              <w:t>参加政府采购活动前3年内在经营活动中没有重大违法记录的书面声明。</w:t>
            </w:r>
          </w:p>
        </w:tc>
        <w:tc>
          <w:tcPr>
            <w:tcW w:w="880" w:type="dxa"/>
            <w:vAlign w:val="center"/>
          </w:tcPr>
          <w:p w14:paraId="28476287">
            <w:pPr>
              <w:spacing w:line="480" w:lineRule="exact"/>
              <w:rPr>
                <w:rFonts w:hAnsi="宋体"/>
                <w:iCs/>
                <w:szCs w:val="21"/>
              </w:rPr>
            </w:pPr>
          </w:p>
        </w:tc>
        <w:tc>
          <w:tcPr>
            <w:tcW w:w="572" w:type="dxa"/>
            <w:vAlign w:val="center"/>
          </w:tcPr>
          <w:p w14:paraId="5324694B">
            <w:pPr>
              <w:spacing w:line="480" w:lineRule="exact"/>
              <w:rPr>
                <w:rFonts w:hAnsi="宋体"/>
                <w:iCs/>
                <w:szCs w:val="21"/>
              </w:rPr>
            </w:pPr>
          </w:p>
        </w:tc>
      </w:tr>
      <w:tr w14:paraId="02AC6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46" w:type="dxa"/>
            <w:vAlign w:val="center"/>
          </w:tcPr>
          <w:p w14:paraId="19CCC7B8">
            <w:pPr>
              <w:spacing w:line="480" w:lineRule="exact"/>
              <w:rPr>
                <w:rFonts w:hAnsi="宋体"/>
                <w:iCs/>
                <w:szCs w:val="21"/>
              </w:rPr>
            </w:pPr>
            <w:r>
              <w:rPr>
                <w:rFonts w:hint="eastAsia" w:hAnsi="宋体"/>
                <w:iCs/>
                <w:szCs w:val="21"/>
              </w:rPr>
              <w:t>7</w:t>
            </w:r>
          </w:p>
        </w:tc>
        <w:tc>
          <w:tcPr>
            <w:tcW w:w="7460" w:type="dxa"/>
            <w:vAlign w:val="center"/>
          </w:tcPr>
          <w:p w14:paraId="0CBACA83">
            <w:pPr>
              <w:spacing w:line="480" w:lineRule="exact"/>
              <w:rPr>
                <w:rFonts w:hAnsi="宋体"/>
                <w:iCs/>
                <w:szCs w:val="21"/>
              </w:rPr>
            </w:pPr>
            <w:r>
              <w:rPr>
                <w:rFonts w:hint="eastAsia" w:hAnsi="宋体"/>
                <w:iCs/>
                <w:szCs w:val="21"/>
              </w:rPr>
              <w:t>法律、行政法规规定的其他条件</w:t>
            </w:r>
          </w:p>
        </w:tc>
        <w:tc>
          <w:tcPr>
            <w:tcW w:w="880" w:type="dxa"/>
            <w:vAlign w:val="center"/>
          </w:tcPr>
          <w:p w14:paraId="04F59BB3">
            <w:pPr>
              <w:spacing w:line="480" w:lineRule="exact"/>
              <w:rPr>
                <w:rFonts w:hAnsi="宋体"/>
                <w:iCs/>
                <w:szCs w:val="21"/>
              </w:rPr>
            </w:pPr>
          </w:p>
        </w:tc>
        <w:tc>
          <w:tcPr>
            <w:tcW w:w="572" w:type="dxa"/>
            <w:vAlign w:val="center"/>
          </w:tcPr>
          <w:p w14:paraId="435CD144">
            <w:pPr>
              <w:spacing w:line="480" w:lineRule="exact"/>
              <w:rPr>
                <w:rFonts w:hAnsi="宋体"/>
                <w:iCs/>
                <w:szCs w:val="21"/>
              </w:rPr>
            </w:pPr>
          </w:p>
        </w:tc>
      </w:tr>
      <w:tr w14:paraId="083FA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 w:hRule="atLeast"/>
        </w:trPr>
        <w:tc>
          <w:tcPr>
            <w:tcW w:w="646" w:type="dxa"/>
            <w:vAlign w:val="center"/>
          </w:tcPr>
          <w:p w14:paraId="472CB7C3">
            <w:pPr>
              <w:spacing w:line="480" w:lineRule="exact"/>
              <w:rPr>
                <w:rFonts w:ascii="宋体" w:hAnsi="宋体"/>
                <w:szCs w:val="21"/>
              </w:rPr>
            </w:pPr>
            <w:r>
              <w:rPr>
                <w:rFonts w:hint="eastAsia" w:ascii="宋体" w:hAnsi="宋体"/>
                <w:szCs w:val="21"/>
              </w:rPr>
              <w:t>8</w:t>
            </w:r>
          </w:p>
        </w:tc>
        <w:tc>
          <w:tcPr>
            <w:tcW w:w="7460" w:type="dxa"/>
            <w:vAlign w:val="center"/>
          </w:tcPr>
          <w:p w14:paraId="2946AB31">
            <w:pPr>
              <w:spacing w:line="480" w:lineRule="exact"/>
              <w:rPr>
                <w:rFonts w:hint="default" w:ascii="宋体" w:hAnsi="宋体" w:eastAsiaTheme="minorEastAsia"/>
                <w:szCs w:val="21"/>
                <w:lang w:val="en-US" w:eastAsia="zh-CN"/>
              </w:rPr>
            </w:pPr>
            <w:r>
              <w:rPr>
                <w:rFonts w:hint="eastAsia" w:ascii="宋体" w:hAnsi="宋体"/>
                <w:szCs w:val="21"/>
                <w:lang w:val="en-US" w:eastAsia="zh-CN"/>
              </w:rPr>
              <w:t>资质材料</w:t>
            </w:r>
          </w:p>
        </w:tc>
        <w:tc>
          <w:tcPr>
            <w:tcW w:w="880" w:type="dxa"/>
            <w:vAlign w:val="center"/>
          </w:tcPr>
          <w:p w14:paraId="72AC231F">
            <w:pPr>
              <w:spacing w:line="480" w:lineRule="exact"/>
              <w:rPr>
                <w:rFonts w:hAnsi="宋体"/>
                <w:iCs/>
                <w:szCs w:val="21"/>
              </w:rPr>
            </w:pPr>
          </w:p>
        </w:tc>
        <w:tc>
          <w:tcPr>
            <w:tcW w:w="572" w:type="dxa"/>
            <w:vAlign w:val="center"/>
          </w:tcPr>
          <w:p w14:paraId="32767359">
            <w:pPr>
              <w:spacing w:line="480" w:lineRule="exact"/>
              <w:rPr>
                <w:rFonts w:hAnsi="宋体"/>
                <w:iCs/>
                <w:szCs w:val="21"/>
              </w:rPr>
            </w:pPr>
          </w:p>
        </w:tc>
      </w:tr>
      <w:tr w14:paraId="35179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646" w:type="dxa"/>
            <w:vAlign w:val="center"/>
          </w:tcPr>
          <w:p w14:paraId="54CF4DEF">
            <w:pPr>
              <w:spacing w:line="480" w:lineRule="exact"/>
              <w:rPr>
                <w:rFonts w:ascii="宋体" w:hAnsi="宋体"/>
                <w:szCs w:val="21"/>
              </w:rPr>
            </w:pPr>
            <w:r>
              <w:rPr>
                <w:rFonts w:hint="eastAsia" w:ascii="宋体" w:hAnsi="宋体"/>
                <w:szCs w:val="21"/>
              </w:rPr>
              <w:t>9</w:t>
            </w:r>
          </w:p>
        </w:tc>
        <w:tc>
          <w:tcPr>
            <w:tcW w:w="7460" w:type="dxa"/>
            <w:vAlign w:val="center"/>
          </w:tcPr>
          <w:p w14:paraId="2A64BD77">
            <w:pPr>
              <w:spacing w:line="480" w:lineRule="exact"/>
              <w:rPr>
                <w:rFonts w:ascii="宋体" w:hAnsi="宋体"/>
                <w:szCs w:val="21"/>
              </w:rPr>
            </w:pPr>
            <w:r>
              <w:rPr>
                <w:rFonts w:hint="eastAsia" w:ascii="宋体" w:hAnsi="宋体"/>
                <w:szCs w:val="21"/>
              </w:rPr>
              <w:t>单位负责人为同一人或者存在直接控股、管理关系的不同供应商，不得参加同一合同项下的政府采购活动。</w:t>
            </w:r>
          </w:p>
        </w:tc>
        <w:tc>
          <w:tcPr>
            <w:tcW w:w="880" w:type="dxa"/>
            <w:vAlign w:val="center"/>
          </w:tcPr>
          <w:p w14:paraId="17234EBD">
            <w:pPr>
              <w:spacing w:line="480" w:lineRule="exact"/>
              <w:rPr>
                <w:rFonts w:hAnsi="宋体"/>
                <w:iCs/>
                <w:szCs w:val="21"/>
              </w:rPr>
            </w:pPr>
          </w:p>
        </w:tc>
        <w:tc>
          <w:tcPr>
            <w:tcW w:w="572" w:type="dxa"/>
            <w:vAlign w:val="center"/>
          </w:tcPr>
          <w:p w14:paraId="07115F50">
            <w:pPr>
              <w:spacing w:line="480" w:lineRule="exact"/>
              <w:rPr>
                <w:rFonts w:hAnsi="宋体"/>
                <w:iCs/>
                <w:szCs w:val="21"/>
              </w:rPr>
            </w:pPr>
          </w:p>
        </w:tc>
      </w:tr>
      <w:tr w14:paraId="7672F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646" w:type="dxa"/>
            <w:vAlign w:val="center"/>
          </w:tcPr>
          <w:p w14:paraId="5CA62DA1">
            <w:pPr>
              <w:spacing w:line="480" w:lineRule="exact"/>
              <w:rPr>
                <w:rFonts w:hint="default" w:ascii="宋体" w:hAnsi="宋体" w:eastAsiaTheme="minorEastAsia"/>
                <w:szCs w:val="21"/>
                <w:lang w:val="en-US" w:eastAsia="zh-CN"/>
              </w:rPr>
            </w:pPr>
            <w:r>
              <w:rPr>
                <w:rFonts w:hint="eastAsia" w:ascii="宋体" w:hAnsi="宋体"/>
                <w:szCs w:val="21"/>
                <w:lang w:val="en-US" w:eastAsia="zh-CN"/>
              </w:rPr>
              <w:t>10</w:t>
            </w:r>
          </w:p>
        </w:tc>
        <w:tc>
          <w:tcPr>
            <w:tcW w:w="7460" w:type="dxa"/>
            <w:vAlign w:val="center"/>
          </w:tcPr>
          <w:p w14:paraId="5F1F238C">
            <w:pPr>
              <w:spacing w:line="480" w:lineRule="exact"/>
              <w:rPr>
                <w:rFonts w:hint="default" w:ascii="宋体" w:hAnsi="宋体" w:eastAsiaTheme="minorEastAsia"/>
                <w:szCs w:val="21"/>
                <w:lang w:val="en-US" w:eastAsia="zh-CN"/>
              </w:rPr>
            </w:pPr>
            <w:r>
              <w:rPr>
                <w:rFonts w:hint="eastAsia" w:ascii="宋体" w:hAnsi="宋体"/>
                <w:szCs w:val="21"/>
                <w:lang w:val="en-US" w:eastAsia="zh-CN"/>
              </w:rPr>
              <w:t>信用中国查询材料</w:t>
            </w:r>
          </w:p>
        </w:tc>
        <w:tc>
          <w:tcPr>
            <w:tcW w:w="880" w:type="dxa"/>
            <w:vAlign w:val="center"/>
          </w:tcPr>
          <w:p w14:paraId="6935F43F">
            <w:pPr>
              <w:spacing w:line="480" w:lineRule="exact"/>
              <w:rPr>
                <w:rFonts w:hAnsi="宋体"/>
                <w:iCs/>
                <w:szCs w:val="21"/>
              </w:rPr>
            </w:pPr>
          </w:p>
        </w:tc>
        <w:tc>
          <w:tcPr>
            <w:tcW w:w="572" w:type="dxa"/>
            <w:vAlign w:val="center"/>
          </w:tcPr>
          <w:p w14:paraId="6B63A846">
            <w:pPr>
              <w:spacing w:line="480" w:lineRule="exact"/>
              <w:rPr>
                <w:rFonts w:hAnsi="宋体"/>
                <w:iCs/>
                <w:szCs w:val="21"/>
              </w:rPr>
            </w:pPr>
          </w:p>
        </w:tc>
      </w:tr>
    </w:tbl>
    <w:p w14:paraId="0975BED8">
      <w:pPr>
        <w:autoSpaceDE w:val="0"/>
        <w:autoSpaceDN w:val="0"/>
        <w:ind w:firstLine="210"/>
        <w:rPr>
          <w:rFonts w:cs="宋体"/>
          <w:szCs w:val="28"/>
          <w:lang w:val="zh-CN"/>
        </w:rPr>
      </w:pPr>
      <w:r>
        <w:rPr>
          <w:rFonts w:hint="eastAsia" w:cs="宋体"/>
          <w:color w:val="FF0000"/>
          <w:szCs w:val="28"/>
          <w:lang w:val="zh-CN"/>
        </w:rPr>
        <w:t>注：本表须明确填写并按招标文件要求提供材料，否则资格性检查无法通过。</w:t>
      </w:r>
    </w:p>
    <w:p w14:paraId="27658FC4">
      <w:pPr>
        <w:autoSpaceDE w:val="0"/>
        <w:autoSpaceDN w:val="0"/>
        <w:spacing w:line="360" w:lineRule="auto"/>
        <w:ind w:firstLine="3045" w:firstLineChars="1450"/>
        <w:rPr>
          <w:rFonts w:hAnsi="宋体"/>
          <w:bCs/>
          <w:szCs w:val="28"/>
        </w:rPr>
      </w:pPr>
    </w:p>
    <w:p w14:paraId="087FE90F">
      <w:pPr>
        <w:pStyle w:val="15"/>
        <w:ind w:firstLine="643"/>
        <w:rPr>
          <w:b/>
          <w:bCs/>
          <w:sz w:val="32"/>
          <w:szCs w:val="32"/>
        </w:rPr>
      </w:pPr>
    </w:p>
    <w:p w14:paraId="77771E0B">
      <w:pPr>
        <w:rPr>
          <w:rFonts w:hAnsi="宋体"/>
          <w:b/>
          <w:bCs/>
          <w:sz w:val="32"/>
          <w:szCs w:val="32"/>
        </w:rPr>
      </w:pPr>
    </w:p>
    <w:p w14:paraId="209EADEC">
      <w:pPr>
        <w:rPr>
          <w:rFonts w:hAnsi="宋体"/>
          <w:b/>
          <w:bCs/>
          <w:sz w:val="32"/>
          <w:szCs w:val="32"/>
        </w:rPr>
      </w:pPr>
    </w:p>
    <w:p w14:paraId="2AF3AF6E">
      <w:pPr>
        <w:rPr>
          <w:rFonts w:hAnsi="宋体"/>
          <w:b/>
          <w:bCs/>
          <w:sz w:val="32"/>
          <w:szCs w:val="32"/>
        </w:rPr>
      </w:pPr>
    </w:p>
    <w:p w14:paraId="4AF34E41">
      <w:pPr>
        <w:rPr>
          <w:rFonts w:hAnsi="宋体"/>
          <w:b/>
          <w:bCs/>
          <w:sz w:val="32"/>
          <w:szCs w:val="32"/>
        </w:rPr>
      </w:pPr>
    </w:p>
    <w:p w14:paraId="682906D6">
      <w:pPr>
        <w:pStyle w:val="14"/>
      </w:pPr>
    </w:p>
    <w:p w14:paraId="7E0BF060">
      <w:pPr>
        <w:rPr>
          <w:rFonts w:hAnsi="宋体"/>
          <w:b/>
          <w:bCs/>
          <w:sz w:val="32"/>
          <w:szCs w:val="32"/>
        </w:rPr>
      </w:pPr>
    </w:p>
    <w:p w14:paraId="04BD1C2E"/>
    <w:p w14:paraId="72A9162C">
      <w:pPr>
        <w:jc w:val="center"/>
        <w:outlineLvl w:val="1"/>
        <w:rPr>
          <w:rFonts w:ascii="黑体" w:hAnsi="宋体" w:eastAsia="黑体" w:cs="黑体"/>
          <w:b/>
          <w:color w:val="000000"/>
          <w:kern w:val="0"/>
          <w:sz w:val="32"/>
          <w:szCs w:val="32"/>
        </w:rPr>
      </w:pPr>
      <w:r>
        <w:rPr>
          <w:rFonts w:hint="eastAsia" w:ascii="黑体" w:hAnsi="宋体" w:eastAsia="黑体" w:cs="黑体"/>
          <w:b/>
          <w:color w:val="000000"/>
          <w:kern w:val="0"/>
          <w:sz w:val="32"/>
          <w:szCs w:val="32"/>
        </w:rPr>
        <w:t>十二、符合性检查响应对照表</w:t>
      </w:r>
    </w:p>
    <w:tbl>
      <w:tblPr>
        <w:tblStyle w:val="16"/>
        <w:tblW w:w="95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6"/>
        <w:gridCol w:w="3837"/>
        <w:gridCol w:w="3290"/>
        <w:gridCol w:w="1785"/>
      </w:tblGrid>
      <w:tr w14:paraId="7B00F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46" w:type="dxa"/>
            <w:vAlign w:val="center"/>
          </w:tcPr>
          <w:p w14:paraId="2D27C372">
            <w:pPr>
              <w:snapToGrid w:val="0"/>
              <w:spacing w:line="240" w:lineRule="atLeast"/>
              <w:jc w:val="center"/>
              <w:rPr>
                <w:rFonts w:ascii="幼圆" w:eastAsia="幼圆"/>
                <w:b/>
              </w:rPr>
            </w:pPr>
            <w:r>
              <w:rPr>
                <w:rFonts w:hint="eastAsia" w:ascii="幼圆" w:eastAsia="幼圆"/>
                <w:b/>
              </w:rPr>
              <w:t>序号</w:t>
            </w:r>
          </w:p>
        </w:tc>
        <w:tc>
          <w:tcPr>
            <w:tcW w:w="3837" w:type="dxa"/>
            <w:vAlign w:val="center"/>
          </w:tcPr>
          <w:p w14:paraId="1759DC1D">
            <w:pPr>
              <w:snapToGrid w:val="0"/>
              <w:spacing w:line="240" w:lineRule="atLeast"/>
              <w:jc w:val="center"/>
              <w:rPr>
                <w:rFonts w:ascii="幼圆" w:eastAsia="幼圆"/>
                <w:b/>
              </w:rPr>
            </w:pPr>
            <w:r>
              <w:rPr>
                <w:rFonts w:hint="eastAsia" w:ascii="幼圆" w:eastAsia="幼圆"/>
                <w:b/>
              </w:rPr>
              <w:t>符合性检查响应内容</w:t>
            </w:r>
          </w:p>
        </w:tc>
        <w:tc>
          <w:tcPr>
            <w:tcW w:w="3290" w:type="dxa"/>
            <w:vAlign w:val="center"/>
          </w:tcPr>
          <w:p w14:paraId="78B3E550">
            <w:pPr>
              <w:snapToGrid w:val="0"/>
              <w:spacing w:line="240" w:lineRule="atLeast"/>
              <w:jc w:val="center"/>
              <w:rPr>
                <w:rFonts w:ascii="幼圆" w:eastAsia="幼圆"/>
                <w:b/>
              </w:rPr>
            </w:pPr>
            <w:r>
              <w:rPr>
                <w:rFonts w:hint="eastAsia" w:ascii="幼圆" w:eastAsia="幼圆"/>
                <w:b/>
              </w:rPr>
              <w:t>是否响应</w:t>
            </w:r>
          </w:p>
          <w:p w14:paraId="2DDB042C">
            <w:pPr>
              <w:snapToGrid w:val="0"/>
              <w:spacing w:line="240" w:lineRule="atLeast"/>
              <w:jc w:val="center"/>
              <w:rPr>
                <w:rFonts w:ascii="幼圆" w:eastAsia="幼圆"/>
                <w:b/>
              </w:rPr>
            </w:pPr>
            <w:r>
              <w:rPr>
                <w:rFonts w:hint="eastAsia" w:ascii="幼圆" w:eastAsia="幼圆"/>
                <w:b/>
              </w:rPr>
              <w:t>（填是或者否）</w:t>
            </w:r>
          </w:p>
        </w:tc>
        <w:tc>
          <w:tcPr>
            <w:tcW w:w="1785" w:type="dxa"/>
            <w:vAlign w:val="center"/>
          </w:tcPr>
          <w:p w14:paraId="748B6741">
            <w:pPr>
              <w:snapToGrid w:val="0"/>
              <w:spacing w:line="240" w:lineRule="atLeast"/>
              <w:jc w:val="center"/>
              <w:rPr>
                <w:rFonts w:ascii="幼圆" w:eastAsia="幼圆"/>
                <w:b/>
              </w:rPr>
            </w:pPr>
            <w:r>
              <w:rPr>
                <w:rFonts w:hint="eastAsia" w:ascii="幼圆" w:eastAsia="幼圆"/>
                <w:b/>
              </w:rPr>
              <w:t>投标文件中的</w:t>
            </w:r>
          </w:p>
          <w:p w14:paraId="1D121AB6">
            <w:pPr>
              <w:snapToGrid w:val="0"/>
              <w:spacing w:line="240" w:lineRule="atLeast"/>
              <w:jc w:val="center"/>
              <w:rPr>
                <w:rFonts w:ascii="幼圆" w:eastAsia="幼圆"/>
                <w:b/>
              </w:rPr>
            </w:pPr>
            <w:r>
              <w:rPr>
                <w:rFonts w:hint="eastAsia" w:ascii="幼圆" w:eastAsia="幼圆"/>
                <w:b/>
              </w:rPr>
              <w:t>页码位置</w:t>
            </w:r>
          </w:p>
        </w:tc>
      </w:tr>
      <w:tr w14:paraId="1536E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46E0E6BA">
            <w:pPr>
              <w:rPr>
                <w:rFonts w:hint="eastAsia" w:hAnsi="宋体" w:eastAsiaTheme="minorEastAsia"/>
                <w:iCs/>
                <w:sz w:val="24"/>
                <w:szCs w:val="22"/>
                <w:lang w:val="en-US" w:eastAsia="zh-CN"/>
              </w:rPr>
            </w:pPr>
            <w:r>
              <w:rPr>
                <w:rFonts w:hint="eastAsia" w:hAnsi="宋体"/>
                <w:iCs/>
                <w:sz w:val="24"/>
                <w:szCs w:val="22"/>
                <w:lang w:val="en-US" w:eastAsia="zh-CN"/>
              </w:rPr>
              <w:t>1</w:t>
            </w:r>
          </w:p>
        </w:tc>
        <w:tc>
          <w:tcPr>
            <w:tcW w:w="3837" w:type="dxa"/>
            <w:vAlign w:val="center"/>
          </w:tcPr>
          <w:p w14:paraId="2661E59C">
            <w:pPr>
              <w:rPr>
                <w:rFonts w:hint="eastAsia" w:hAnsi="宋体"/>
                <w:iCs/>
                <w:sz w:val="24"/>
                <w:szCs w:val="22"/>
              </w:rPr>
            </w:pPr>
            <w:r>
              <w:rPr>
                <w:rFonts w:hint="eastAsia" w:hAnsi="宋体"/>
                <w:iCs/>
                <w:sz w:val="24"/>
                <w:szCs w:val="22"/>
                <w:lang w:val="en-US" w:eastAsia="zh-CN"/>
              </w:rPr>
              <w:t>投标报价不得超过本项目最高单价限价</w:t>
            </w:r>
          </w:p>
        </w:tc>
        <w:tc>
          <w:tcPr>
            <w:tcW w:w="3290" w:type="dxa"/>
            <w:vAlign w:val="center"/>
          </w:tcPr>
          <w:p w14:paraId="452C5A94">
            <w:pPr>
              <w:rPr>
                <w:rFonts w:hAnsi="宋体"/>
                <w:b/>
              </w:rPr>
            </w:pPr>
          </w:p>
        </w:tc>
        <w:tc>
          <w:tcPr>
            <w:tcW w:w="1785" w:type="dxa"/>
            <w:vAlign w:val="center"/>
          </w:tcPr>
          <w:p w14:paraId="7ECA3371">
            <w:pPr>
              <w:rPr>
                <w:rFonts w:hAnsi="宋体"/>
                <w:b/>
              </w:rPr>
            </w:pPr>
          </w:p>
        </w:tc>
      </w:tr>
      <w:tr w14:paraId="38617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1787568F">
            <w:pPr>
              <w:rPr>
                <w:rFonts w:hint="eastAsia" w:hAnsi="宋体" w:eastAsiaTheme="minorEastAsia"/>
                <w:iCs/>
                <w:sz w:val="24"/>
                <w:szCs w:val="22"/>
                <w:lang w:eastAsia="zh-CN"/>
              </w:rPr>
            </w:pPr>
            <w:r>
              <w:rPr>
                <w:rFonts w:hint="eastAsia" w:hAnsi="宋体"/>
                <w:iCs/>
                <w:sz w:val="24"/>
                <w:szCs w:val="22"/>
                <w:lang w:val="en-US" w:eastAsia="zh-CN"/>
              </w:rPr>
              <w:t>2</w:t>
            </w:r>
          </w:p>
        </w:tc>
        <w:tc>
          <w:tcPr>
            <w:tcW w:w="3837" w:type="dxa"/>
            <w:vAlign w:val="center"/>
          </w:tcPr>
          <w:p w14:paraId="400E5EBE">
            <w:pPr>
              <w:rPr>
                <w:rFonts w:hAnsi="宋体"/>
                <w:iCs/>
                <w:sz w:val="24"/>
                <w:szCs w:val="22"/>
              </w:rPr>
            </w:pPr>
            <w:r>
              <w:rPr>
                <w:rFonts w:hint="eastAsia" w:hAnsi="宋体"/>
                <w:iCs/>
                <w:sz w:val="24"/>
                <w:szCs w:val="22"/>
                <w:lang w:val="en-US" w:eastAsia="zh-CN"/>
              </w:rPr>
              <w:t>采购需求</w:t>
            </w:r>
            <w:r>
              <w:rPr>
                <w:rFonts w:hint="eastAsia" w:hAnsi="宋体"/>
                <w:iCs/>
                <w:sz w:val="24"/>
                <w:szCs w:val="22"/>
              </w:rPr>
              <w:t>响应</w:t>
            </w:r>
          </w:p>
        </w:tc>
        <w:tc>
          <w:tcPr>
            <w:tcW w:w="3290" w:type="dxa"/>
            <w:vAlign w:val="center"/>
          </w:tcPr>
          <w:p w14:paraId="6A0B6366">
            <w:pPr>
              <w:rPr>
                <w:rFonts w:hAnsi="宋体"/>
                <w:b/>
              </w:rPr>
            </w:pPr>
          </w:p>
        </w:tc>
        <w:tc>
          <w:tcPr>
            <w:tcW w:w="1785" w:type="dxa"/>
            <w:vAlign w:val="center"/>
          </w:tcPr>
          <w:p w14:paraId="3E33422F">
            <w:pPr>
              <w:rPr>
                <w:rFonts w:hAnsi="宋体"/>
                <w:b/>
              </w:rPr>
            </w:pPr>
          </w:p>
        </w:tc>
      </w:tr>
      <w:tr w14:paraId="34588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35FC9025">
            <w:pPr>
              <w:rPr>
                <w:rFonts w:hint="eastAsia" w:hAnsi="宋体" w:eastAsiaTheme="minorEastAsia"/>
                <w:iCs/>
                <w:sz w:val="24"/>
                <w:szCs w:val="22"/>
                <w:lang w:eastAsia="zh-CN"/>
              </w:rPr>
            </w:pPr>
            <w:r>
              <w:rPr>
                <w:rFonts w:hint="eastAsia" w:hAnsi="宋体"/>
                <w:iCs/>
                <w:sz w:val="24"/>
                <w:szCs w:val="22"/>
                <w:lang w:val="en-US" w:eastAsia="zh-CN"/>
              </w:rPr>
              <w:t>3</w:t>
            </w:r>
          </w:p>
        </w:tc>
        <w:tc>
          <w:tcPr>
            <w:tcW w:w="3837" w:type="dxa"/>
            <w:vAlign w:val="center"/>
          </w:tcPr>
          <w:p w14:paraId="2E6C7781">
            <w:pPr>
              <w:rPr>
                <w:rFonts w:hint="eastAsia" w:hAnsi="宋体" w:eastAsiaTheme="minorEastAsia"/>
                <w:iCs/>
                <w:sz w:val="24"/>
                <w:szCs w:val="22"/>
                <w:lang w:val="en-US" w:eastAsia="zh-CN"/>
              </w:rPr>
            </w:pPr>
            <w:r>
              <w:rPr>
                <w:rFonts w:hint="eastAsia" w:hAnsi="宋体"/>
                <w:iCs/>
                <w:sz w:val="24"/>
                <w:szCs w:val="22"/>
              </w:rPr>
              <w:t>合同履行期限</w:t>
            </w:r>
            <w:r>
              <w:rPr>
                <w:rFonts w:hint="eastAsia" w:hAnsi="宋体"/>
                <w:iCs/>
                <w:sz w:val="24"/>
                <w:szCs w:val="22"/>
                <w:lang w:val="en-US" w:eastAsia="zh-CN"/>
              </w:rPr>
              <w:t>响应</w:t>
            </w:r>
          </w:p>
        </w:tc>
        <w:tc>
          <w:tcPr>
            <w:tcW w:w="3290" w:type="dxa"/>
            <w:vAlign w:val="center"/>
          </w:tcPr>
          <w:p w14:paraId="721F8665">
            <w:pPr>
              <w:rPr>
                <w:rFonts w:hAnsi="宋体"/>
              </w:rPr>
            </w:pPr>
          </w:p>
        </w:tc>
        <w:tc>
          <w:tcPr>
            <w:tcW w:w="1785" w:type="dxa"/>
            <w:vAlign w:val="center"/>
          </w:tcPr>
          <w:p w14:paraId="5E84E426">
            <w:pPr>
              <w:rPr>
                <w:rFonts w:hAnsi="宋体"/>
              </w:rPr>
            </w:pPr>
          </w:p>
        </w:tc>
      </w:tr>
      <w:tr w14:paraId="412D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646" w:type="dxa"/>
            <w:vAlign w:val="center"/>
          </w:tcPr>
          <w:p w14:paraId="292D3282">
            <w:pPr>
              <w:rPr>
                <w:rFonts w:hint="eastAsia" w:hAnsi="宋体" w:eastAsiaTheme="minorEastAsia"/>
                <w:iCs/>
                <w:sz w:val="24"/>
                <w:szCs w:val="22"/>
                <w:lang w:eastAsia="zh-CN"/>
              </w:rPr>
            </w:pPr>
            <w:r>
              <w:rPr>
                <w:rFonts w:hint="eastAsia" w:hAnsi="宋体"/>
                <w:iCs/>
                <w:sz w:val="24"/>
                <w:szCs w:val="22"/>
                <w:lang w:val="en-US" w:eastAsia="zh-CN"/>
              </w:rPr>
              <w:t>4</w:t>
            </w:r>
          </w:p>
        </w:tc>
        <w:tc>
          <w:tcPr>
            <w:tcW w:w="3837" w:type="dxa"/>
            <w:vAlign w:val="center"/>
          </w:tcPr>
          <w:p w14:paraId="70D5EB58">
            <w:pPr>
              <w:rPr>
                <w:rFonts w:hint="default" w:hAnsi="宋体" w:eastAsiaTheme="minorEastAsia"/>
                <w:iCs/>
                <w:sz w:val="24"/>
                <w:szCs w:val="22"/>
                <w:lang w:val="en-US" w:eastAsia="zh-CN"/>
              </w:rPr>
            </w:pPr>
            <w:r>
              <w:rPr>
                <w:rFonts w:hint="eastAsia" w:hAnsi="宋体"/>
                <w:iCs/>
                <w:sz w:val="24"/>
                <w:szCs w:val="22"/>
                <w:lang w:val="en-US" w:eastAsia="zh-CN"/>
              </w:rPr>
              <w:t>付款方式响应</w:t>
            </w:r>
          </w:p>
        </w:tc>
        <w:tc>
          <w:tcPr>
            <w:tcW w:w="3290" w:type="dxa"/>
            <w:vAlign w:val="center"/>
          </w:tcPr>
          <w:p w14:paraId="25573FA5">
            <w:pPr>
              <w:rPr>
                <w:rFonts w:hAnsi="宋体"/>
                <w:iCs/>
                <w:sz w:val="24"/>
                <w:szCs w:val="22"/>
              </w:rPr>
            </w:pPr>
          </w:p>
        </w:tc>
        <w:tc>
          <w:tcPr>
            <w:tcW w:w="1785" w:type="dxa"/>
            <w:vAlign w:val="center"/>
          </w:tcPr>
          <w:p w14:paraId="2E1D5078">
            <w:pPr>
              <w:rPr>
                <w:rFonts w:hAnsi="宋体"/>
                <w:iCs/>
                <w:sz w:val="24"/>
                <w:szCs w:val="22"/>
              </w:rPr>
            </w:pPr>
          </w:p>
        </w:tc>
      </w:tr>
      <w:tr w14:paraId="6D7772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646" w:type="dxa"/>
            <w:vAlign w:val="center"/>
          </w:tcPr>
          <w:p w14:paraId="4157838B">
            <w:pPr>
              <w:rPr>
                <w:rFonts w:hint="eastAsia" w:hAnsi="宋体" w:eastAsiaTheme="minorEastAsia"/>
                <w:lang w:eastAsia="zh-CN"/>
              </w:rPr>
            </w:pPr>
            <w:r>
              <w:rPr>
                <w:rFonts w:hint="eastAsia" w:hAnsi="宋体"/>
                <w:lang w:val="en-US" w:eastAsia="zh-CN"/>
              </w:rPr>
              <w:t>5</w:t>
            </w:r>
          </w:p>
        </w:tc>
        <w:tc>
          <w:tcPr>
            <w:tcW w:w="3837" w:type="dxa"/>
            <w:vAlign w:val="center"/>
          </w:tcPr>
          <w:p w14:paraId="4074FF70">
            <w:pPr>
              <w:snapToGrid w:val="0"/>
              <w:spacing w:line="590" w:lineRule="atLeast"/>
              <w:rPr>
                <w:rFonts w:hAnsi="宋体"/>
                <w:iCs/>
                <w:sz w:val="24"/>
              </w:rPr>
            </w:pPr>
          </w:p>
        </w:tc>
        <w:tc>
          <w:tcPr>
            <w:tcW w:w="3290" w:type="dxa"/>
            <w:vAlign w:val="center"/>
          </w:tcPr>
          <w:p w14:paraId="553A381A">
            <w:pPr>
              <w:rPr>
                <w:rFonts w:hAnsi="宋体"/>
              </w:rPr>
            </w:pPr>
          </w:p>
        </w:tc>
        <w:tc>
          <w:tcPr>
            <w:tcW w:w="1785" w:type="dxa"/>
            <w:vAlign w:val="center"/>
          </w:tcPr>
          <w:p w14:paraId="63F615D5">
            <w:pPr>
              <w:rPr>
                <w:rFonts w:hAnsi="宋体"/>
              </w:rPr>
            </w:pPr>
          </w:p>
        </w:tc>
      </w:tr>
      <w:tr w14:paraId="1A2D3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646" w:type="dxa"/>
            <w:vAlign w:val="center"/>
          </w:tcPr>
          <w:p w14:paraId="3FDA100D">
            <w:pPr>
              <w:rPr>
                <w:rFonts w:hAnsi="宋体"/>
              </w:rPr>
            </w:pPr>
          </w:p>
        </w:tc>
        <w:tc>
          <w:tcPr>
            <w:tcW w:w="3837" w:type="dxa"/>
            <w:vAlign w:val="center"/>
          </w:tcPr>
          <w:p w14:paraId="385EFF07">
            <w:pPr>
              <w:snapToGrid w:val="0"/>
              <w:spacing w:line="590" w:lineRule="atLeast"/>
              <w:rPr>
                <w:rFonts w:hAnsi="宋体"/>
                <w:iCs/>
                <w:sz w:val="24"/>
              </w:rPr>
            </w:pPr>
          </w:p>
        </w:tc>
        <w:tc>
          <w:tcPr>
            <w:tcW w:w="3290" w:type="dxa"/>
            <w:vAlign w:val="center"/>
          </w:tcPr>
          <w:p w14:paraId="11088D2E">
            <w:pPr>
              <w:rPr>
                <w:rFonts w:hAnsi="宋体"/>
              </w:rPr>
            </w:pPr>
          </w:p>
        </w:tc>
        <w:tc>
          <w:tcPr>
            <w:tcW w:w="1785" w:type="dxa"/>
            <w:vAlign w:val="center"/>
          </w:tcPr>
          <w:p w14:paraId="561CBBBE">
            <w:pPr>
              <w:rPr>
                <w:rFonts w:hAnsi="宋体"/>
              </w:rPr>
            </w:pPr>
          </w:p>
        </w:tc>
      </w:tr>
      <w:tr w14:paraId="1554E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6" w:hRule="atLeast"/>
        </w:trPr>
        <w:tc>
          <w:tcPr>
            <w:tcW w:w="646" w:type="dxa"/>
            <w:vAlign w:val="center"/>
          </w:tcPr>
          <w:p w14:paraId="484B278B">
            <w:pPr>
              <w:rPr>
                <w:rFonts w:hAnsi="宋体"/>
              </w:rPr>
            </w:pPr>
          </w:p>
        </w:tc>
        <w:tc>
          <w:tcPr>
            <w:tcW w:w="3837" w:type="dxa"/>
            <w:vAlign w:val="center"/>
          </w:tcPr>
          <w:p w14:paraId="1C0058F5">
            <w:pPr>
              <w:snapToGrid w:val="0"/>
              <w:spacing w:line="590" w:lineRule="atLeast"/>
              <w:rPr>
                <w:rFonts w:hAnsi="宋体"/>
                <w:iCs/>
                <w:sz w:val="24"/>
              </w:rPr>
            </w:pPr>
          </w:p>
        </w:tc>
        <w:tc>
          <w:tcPr>
            <w:tcW w:w="3290" w:type="dxa"/>
            <w:vAlign w:val="center"/>
          </w:tcPr>
          <w:p w14:paraId="2817E07C">
            <w:pPr>
              <w:rPr>
                <w:rFonts w:hAnsi="宋体"/>
              </w:rPr>
            </w:pPr>
          </w:p>
        </w:tc>
        <w:tc>
          <w:tcPr>
            <w:tcW w:w="1785" w:type="dxa"/>
            <w:vAlign w:val="center"/>
          </w:tcPr>
          <w:p w14:paraId="7C8076B1">
            <w:pPr>
              <w:rPr>
                <w:rFonts w:hAnsi="宋体"/>
              </w:rPr>
            </w:pPr>
          </w:p>
        </w:tc>
      </w:tr>
      <w:tr w14:paraId="5371E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646" w:type="dxa"/>
            <w:vAlign w:val="center"/>
          </w:tcPr>
          <w:p w14:paraId="33CE1F26">
            <w:pPr>
              <w:rPr>
                <w:rFonts w:hAnsi="宋体"/>
              </w:rPr>
            </w:pPr>
          </w:p>
        </w:tc>
        <w:tc>
          <w:tcPr>
            <w:tcW w:w="3837" w:type="dxa"/>
            <w:vAlign w:val="center"/>
          </w:tcPr>
          <w:p w14:paraId="480DBD51">
            <w:pPr>
              <w:snapToGrid w:val="0"/>
              <w:spacing w:line="590" w:lineRule="atLeast"/>
              <w:rPr>
                <w:rFonts w:hAnsi="宋体"/>
                <w:iCs/>
                <w:sz w:val="24"/>
              </w:rPr>
            </w:pPr>
          </w:p>
        </w:tc>
        <w:tc>
          <w:tcPr>
            <w:tcW w:w="3290" w:type="dxa"/>
            <w:vAlign w:val="center"/>
          </w:tcPr>
          <w:p w14:paraId="4AEA56BA">
            <w:pPr>
              <w:rPr>
                <w:rFonts w:hAnsi="宋体"/>
              </w:rPr>
            </w:pPr>
          </w:p>
        </w:tc>
        <w:tc>
          <w:tcPr>
            <w:tcW w:w="1785" w:type="dxa"/>
            <w:vAlign w:val="center"/>
          </w:tcPr>
          <w:p w14:paraId="3CB8581B">
            <w:pPr>
              <w:rPr>
                <w:rFonts w:hAnsi="宋体"/>
              </w:rPr>
            </w:pPr>
          </w:p>
        </w:tc>
      </w:tr>
    </w:tbl>
    <w:p w14:paraId="79E150DD">
      <w:pPr>
        <w:autoSpaceDE w:val="0"/>
        <w:autoSpaceDN w:val="0"/>
        <w:ind w:firstLine="210"/>
        <w:rPr>
          <w:rFonts w:cs="宋体"/>
          <w:szCs w:val="28"/>
          <w:lang w:val="zh-CN"/>
        </w:rPr>
      </w:pPr>
    </w:p>
    <w:p w14:paraId="69DBB725">
      <w:pPr>
        <w:autoSpaceDE w:val="0"/>
        <w:autoSpaceDN w:val="0"/>
        <w:ind w:firstLine="210"/>
        <w:rPr>
          <w:rFonts w:cs="宋体"/>
          <w:color w:val="FF0000"/>
          <w:szCs w:val="28"/>
          <w:lang w:val="zh-CN"/>
        </w:rPr>
      </w:pPr>
      <w:r>
        <w:rPr>
          <w:rFonts w:hint="eastAsia" w:cs="宋体"/>
          <w:color w:val="FF0000"/>
          <w:szCs w:val="28"/>
          <w:lang w:val="zh-CN"/>
        </w:rPr>
        <w:t>注：本表须明确填写并按招标文件要求提供材料，否则符合性检查无法通过。</w:t>
      </w:r>
    </w:p>
    <w:p w14:paraId="7D934DAF">
      <w:pPr>
        <w:autoSpaceDE w:val="0"/>
        <w:autoSpaceDN w:val="0"/>
        <w:ind w:firstLine="210"/>
        <w:rPr>
          <w:rFonts w:cs="宋体"/>
          <w:szCs w:val="28"/>
          <w:lang w:val="zh-CN"/>
        </w:rPr>
      </w:pPr>
    </w:p>
    <w:p w14:paraId="356B3630">
      <w:pPr>
        <w:autoSpaceDE w:val="0"/>
        <w:autoSpaceDN w:val="0"/>
        <w:ind w:firstLine="210"/>
        <w:rPr>
          <w:rFonts w:cs="宋体"/>
          <w:szCs w:val="28"/>
          <w:lang w:val="zh-CN"/>
        </w:rPr>
      </w:pPr>
    </w:p>
    <w:p w14:paraId="311A7ACD">
      <w:pPr>
        <w:pStyle w:val="31"/>
        <w:rPr>
          <w:rFonts w:ascii="宋体" w:hAnsi="宋体"/>
          <w:b/>
          <w:sz w:val="32"/>
          <w:szCs w:val="32"/>
        </w:rPr>
      </w:pPr>
    </w:p>
    <w:p w14:paraId="39584E33">
      <w:pPr>
        <w:pStyle w:val="31"/>
        <w:rPr>
          <w:rFonts w:ascii="宋体" w:hAnsi="宋体"/>
          <w:b/>
          <w:sz w:val="32"/>
          <w:szCs w:val="32"/>
        </w:rPr>
      </w:pPr>
    </w:p>
    <w:p w14:paraId="2E3D20A4">
      <w:pPr>
        <w:pStyle w:val="31"/>
        <w:rPr>
          <w:rFonts w:ascii="宋体" w:hAnsi="宋体"/>
          <w:b/>
          <w:sz w:val="32"/>
          <w:szCs w:val="32"/>
        </w:rPr>
      </w:pPr>
    </w:p>
    <w:p w14:paraId="16FD126F">
      <w:pPr>
        <w:pStyle w:val="31"/>
        <w:rPr>
          <w:rFonts w:ascii="宋体" w:hAnsi="宋体"/>
          <w:b/>
          <w:sz w:val="32"/>
          <w:szCs w:val="32"/>
        </w:rPr>
      </w:pPr>
    </w:p>
    <w:p w14:paraId="4B58DF7F">
      <w:pPr>
        <w:pStyle w:val="31"/>
        <w:rPr>
          <w:rFonts w:ascii="宋体" w:hAnsi="宋体"/>
          <w:b/>
          <w:sz w:val="32"/>
          <w:szCs w:val="32"/>
        </w:rPr>
      </w:pPr>
    </w:p>
    <w:p w14:paraId="6166452D">
      <w:pPr>
        <w:pStyle w:val="2"/>
        <w:spacing w:line="360" w:lineRule="auto"/>
        <w:jc w:val="left"/>
        <w:rPr>
          <w:rFonts w:hAnsi="宋体" w:eastAsia="宋体"/>
          <w:b/>
          <w:bCs/>
          <w:sz w:val="32"/>
          <w:szCs w:val="32"/>
        </w:rPr>
      </w:pPr>
      <w:r>
        <w:rPr>
          <w:rFonts w:hint="eastAsia" w:hAnsi="宋体" w:eastAsia="宋体"/>
          <w:b/>
          <w:bCs/>
          <w:sz w:val="32"/>
          <w:szCs w:val="32"/>
        </w:rPr>
        <w:t xml:space="preserve">附件1、         </w:t>
      </w:r>
      <w:r>
        <w:rPr>
          <w:rFonts w:hint="eastAsia" w:hAnsi="宋体" w:eastAsia="宋体"/>
          <w:b/>
          <w:bCs/>
          <w:sz w:val="32"/>
          <w:szCs w:val="32"/>
          <w:lang w:val="en-US" w:eastAsia="zh-CN"/>
        </w:rPr>
        <w:t xml:space="preserve">  </w:t>
      </w:r>
      <w:r>
        <w:rPr>
          <w:rFonts w:hint="eastAsia" w:hAnsi="宋体" w:eastAsia="宋体"/>
          <w:b/>
          <w:bCs/>
          <w:sz w:val="32"/>
          <w:szCs w:val="32"/>
        </w:rPr>
        <w:t>实质性响应内容</w:t>
      </w:r>
    </w:p>
    <w:p w14:paraId="7B99A8E1">
      <w:pPr>
        <w:keepNext w:val="0"/>
        <w:keepLines w:val="0"/>
        <w:pageBreakBefore w:val="0"/>
        <w:widowControl w:val="0"/>
        <w:spacing w:line="360" w:lineRule="auto"/>
        <w:ind w:firstLine="723" w:firstLineChars="300"/>
        <w:rPr>
          <w:rFonts w:hint="eastAsia" w:asciiTheme="minorEastAsia" w:hAnsiTheme="minorEastAsia" w:eastAsiaTheme="minorEastAsia" w:cstheme="minorEastAsia"/>
          <w:b/>
          <w:bCs/>
          <w:color w:val="333333"/>
          <w:kern w:val="0"/>
          <w:sz w:val="24"/>
          <w:szCs w:val="24"/>
          <w:shd w:val="clear" w:color="auto" w:fill="FFFFFF"/>
          <w:lang w:val="zh-CN" w:eastAsia="zh-CN" w:bidi="ar-SA"/>
        </w:rPr>
      </w:pPr>
      <w:r>
        <w:rPr>
          <w:rFonts w:hint="eastAsia" w:asciiTheme="minorEastAsia" w:hAnsiTheme="minorEastAsia" w:cstheme="minorEastAsia"/>
          <w:b/>
          <w:bCs/>
          <w:color w:val="333333"/>
          <w:kern w:val="0"/>
          <w:sz w:val="24"/>
          <w:szCs w:val="24"/>
          <w:shd w:val="clear" w:color="auto" w:fill="FFFFFF"/>
          <w:lang w:val="en-US" w:eastAsia="zh-CN" w:bidi="ar-SA"/>
        </w:rPr>
        <w:t>一</w:t>
      </w:r>
      <w:r>
        <w:rPr>
          <w:rFonts w:hint="eastAsia" w:asciiTheme="minorEastAsia" w:hAnsiTheme="minorEastAsia" w:eastAsiaTheme="minorEastAsia" w:cstheme="minorEastAsia"/>
          <w:b/>
          <w:bCs/>
          <w:color w:val="333333"/>
          <w:kern w:val="0"/>
          <w:sz w:val="24"/>
          <w:szCs w:val="24"/>
          <w:shd w:val="clear" w:color="auto" w:fill="FFFFFF"/>
          <w:lang w:val="en-US" w:eastAsia="zh-CN" w:bidi="ar-SA"/>
        </w:rPr>
        <w:t>、</w:t>
      </w:r>
      <w:r>
        <w:rPr>
          <w:rFonts w:hint="eastAsia" w:asciiTheme="minorEastAsia" w:hAnsiTheme="minorEastAsia" w:eastAsiaTheme="minorEastAsia" w:cstheme="minorEastAsia"/>
          <w:b/>
          <w:bCs/>
          <w:color w:val="333333"/>
          <w:kern w:val="0"/>
          <w:sz w:val="24"/>
          <w:szCs w:val="24"/>
          <w:shd w:val="clear" w:color="auto" w:fill="FFFFFF"/>
          <w:lang w:val="zh-CN" w:eastAsia="zh-CN" w:bidi="ar-SA"/>
        </w:rPr>
        <w:t>采购需求：</w:t>
      </w:r>
    </w:p>
    <w:p w14:paraId="70DC9B2C">
      <w:pPr>
        <w:keepNext w:val="0"/>
        <w:keepLines w:val="0"/>
        <w:pageBreakBefore w:val="0"/>
        <w:widowControl w:val="0"/>
        <w:spacing w:line="360" w:lineRule="auto"/>
        <w:ind w:firstLine="723" w:firstLineChars="3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（一）服务内容：</w:t>
      </w:r>
    </w:p>
    <w:p w14:paraId="1801F7D2">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1、船员商业意外伤害险保险补贴：</w:t>
      </w:r>
      <w:r>
        <w:rPr>
          <w:rFonts w:hint="default" w:asciiTheme="minorEastAsia" w:hAnsiTheme="minorEastAsia" w:eastAsiaTheme="minorEastAsia" w:cstheme="minorEastAsia"/>
          <w:color w:val="333333"/>
          <w:kern w:val="0"/>
          <w:sz w:val="24"/>
          <w:szCs w:val="24"/>
          <w:shd w:val="clear" w:color="auto" w:fill="FFFFFF"/>
          <w:lang w:val="en-US" w:eastAsia="zh-CN" w:bidi="ar-SA"/>
        </w:rPr>
        <w:t>在省渔业互助保险基础上，船东为船员</w:t>
      </w:r>
      <w:r>
        <w:rPr>
          <w:rFonts w:hint="eastAsia" w:asciiTheme="minorEastAsia" w:hAnsiTheme="minorEastAsia" w:eastAsiaTheme="minorEastAsia" w:cstheme="minorEastAsia"/>
          <w:color w:val="333333"/>
          <w:kern w:val="0"/>
          <w:sz w:val="24"/>
          <w:szCs w:val="24"/>
          <w:shd w:val="clear" w:color="auto" w:fill="FFFFFF"/>
          <w:lang w:val="en-US" w:eastAsia="zh-CN" w:bidi="ar-SA"/>
        </w:rPr>
        <w:t>再次</w:t>
      </w:r>
      <w:r>
        <w:rPr>
          <w:rFonts w:hint="default" w:asciiTheme="minorEastAsia" w:hAnsiTheme="minorEastAsia" w:eastAsiaTheme="minorEastAsia" w:cstheme="minorEastAsia"/>
          <w:color w:val="333333"/>
          <w:kern w:val="0"/>
          <w:sz w:val="24"/>
          <w:szCs w:val="24"/>
          <w:shd w:val="clear" w:color="auto" w:fill="FFFFFF"/>
          <w:lang w:val="en-US" w:eastAsia="zh-CN" w:bidi="ar-SA"/>
        </w:rPr>
        <w:t>购买商业意外伤害险</w:t>
      </w:r>
      <w:r>
        <w:rPr>
          <w:rFonts w:hint="eastAsia" w:asciiTheme="minorEastAsia" w:hAnsiTheme="minorEastAsia" w:eastAsiaTheme="minorEastAsia" w:cstheme="minorEastAsia"/>
          <w:color w:val="333333"/>
          <w:kern w:val="0"/>
          <w:sz w:val="24"/>
          <w:szCs w:val="24"/>
          <w:shd w:val="clear" w:color="auto" w:fill="FFFFFF"/>
          <w:lang w:val="en-US" w:eastAsia="zh-CN" w:bidi="ar-SA"/>
        </w:rPr>
        <w:t>60万元/人，保费按：2175元/人计算（本项目最高限价），需要投保的出海船员约为2500人，保单总金额约为544万元。县财政为所投保的出海船员，按每人保费的30%进行补贴，补贴资金</w:t>
      </w:r>
      <w:r>
        <w:rPr>
          <w:rFonts w:hint="eastAsia" w:asciiTheme="minorEastAsia" w:hAnsiTheme="minorEastAsia" w:cstheme="minorEastAsia"/>
          <w:color w:val="333333"/>
          <w:kern w:val="0"/>
          <w:sz w:val="24"/>
          <w:szCs w:val="24"/>
          <w:shd w:val="clear" w:color="auto" w:fill="FFFFFF"/>
          <w:lang w:val="en-US" w:eastAsia="zh-CN" w:bidi="ar-SA"/>
        </w:rPr>
        <w:t>：</w:t>
      </w:r>
      <w:r>
        <w:rPr>
          <w:rFonts w:hint="eastAsia" w:asciiTheme="minorEastAsia" w:hAnsiTheme="minorEastAsia" w:eastAsiaTheme="minorEastAsia" w:cstheme="minorEastAsia"/>
          <w:color w:val="333333"/>
          <w:kern w:val="0"/>
          <w:sz w:val="24"/>
          <w:szCs w:val="24"/>
          <w:shd w:val="clear" w:color="auto" w:fill="FFFFFF"/>
          <w:lang w:val="en-US" w:eastAsia="zh-CN" w:bidi="ar-SA"/>
        </w:rPr>
        <w:t>163.2万元。</w:t>
      </w:r>
    </w:p>
    <w:p w14:paraId="6E04C30C">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2、补贴对象：我县在“中国渔政指挥管理系统”登记在册的海洋渔船船东。</w:t>
      </w:r>
    </w:p>
    <w:p w14:paraId="4B442D99">
      <w:pPr>
        <w:keepNext w:val="0"/>
        <w:keepLines w:val="0"/>
        <w:pageBreakBefore w:val="0"/>
        <w:widowControl w:val="0"/>
        <w:spacing w:line="360" w:lineRule="auto"/>
        <w:ind w:firstLine="720" w:firstLineChars="300"/>
        <w:rPr>
          <w:rFonts w:hint="default"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3、补贴流程：公开招标确定承保单位，项目实施周期一年，项目实施周期内，由船东先行支付保险资金，待项目验收后，由县农业综合行政执法大队汇总统计进行资金申请，县农业农村局审核，在县政府网站对外公示无异议后，报县财政局申请资金，由县财政局将补贴资金一次性拨付到补贴对象账户。中标单位在一年度服务期结束后，须提供相关保单汇总数据给采购单位，作为县财政补贴审批流程依据。</w:t>
      </w:r>
    </w:p>
    <w:p w14:paraId="665ADF9A">
      <w:pPr>
        <w:keepNext w:val="0"/>
        <w:keepLines w:val="0"/>
        <w:pageBreakBefore w:val="0"/>
        <w:widowControl w:val="0"/>
        <w:spacing w:line="360" w:lineRule="auto"/>
        <w:ind w:firstLine="720" w:firstLineChars="300"/>
        <w:rPr>
          <w:rFonts w:hint="default"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招标内容重点为保费金额、赔付流程与省渔业互助保险协会一致，重点围绕人员死亡事故先赔付后审批。投标人投标响应的保险产品，必须经保险监督管理部门正式批准或报备同意。本项目中标单位在签订合同前须向采购人提供相关批准或报备同意的相关证明材料。中标单位须按此项规定，在省渔业互助保险协会对发生人员死亡事故进行赔付后，须在第一时间内，对其死亡事故进行赔付。</w:t>
      </w:r>
    </w:p>
    <w:p w14:paraId="6B6DA834">
      <w:pPr>
        <w:keepNext w:val="0"/>
        <w:keepLines w:val="0"/>
        <w:pageBreakBefore w:val="0"/>
        <w:widowControl w:val="0"/>
        <w:spacing w:line="360" w:lineRule="auto"/>
        <w:ind w:firstLine="723" w:firstLineChars="3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w:t>
      </w:r>
      <w:r>
        <w:rPr>
          <w:rFonts w:hint="eastAsia" w:asciiTheme="minorEastAsia" w:hAnsiTheme="minorEastAsia" w:cstheme="minorEastAsia"/>
          <w:b/>
          <w:bCs/>
          <w:color w:val="333333"/>
          <w:kern w:val="0"/>
          <w:sz w:val="24"/>
          <w:szCs w:val="24"/>
          <w:shd w:val="clear" w:color="auto" w:fill="FFFFFF"/>
          <w:lang w:val="en-US" w:eastAsia="zh-CN" w:bidi="ar-SA"/>
        </w:rPr>
        <w:t>二</w:t>
      </w:r>
      <w:r>
        <w:rPr>
          <w:rFonts w:hint="eastAsia" w:asciiTheme="minorEastAsia" w:hAnsiTheme="minorEastAsia" w:eastAsiaTheme="minorEastAsia" w:cstheme="minorEastAsia"/>
          <w:b/>
          <w:bCs/>
          <w:color w:val="333333"/>
          <w:kern w:val="0"/>
          <w:sz w:val="24"/>
          <w:szCs w:val="24"/>
          <w:shd w:val="clear" w:color="auto" w:fill="FFFFFF"/>
          <w:lang w:val="en-US" w:eastAsia="zh-CN" w:bidi="ar-SA"/>
        </w:rPr>
        <w:t>）保险条款（此保险条款</w:t>
      </w:r>
      <w:r>
        <w:rPr>
          <w:rFonts w:hint="eastAsia" w:asciiTheme="minorEastAsia" w:hAnsiTheme="minorEastAsia" w:eastAsiaTheme="minorEastAsia" w:cstheme="minorEastAsia"/>
          <w:b/>
          <w:bCs/>
          <w:color w:val="333333"/>
          <w:kern w:val="0"/>
          <w:sz w:val="24"/>
          <w:szCs w:val="24"/>
          <w:shd w:val="clear" w:color="auto" w:fill="FFFFFF"/>
          <w:lang w:val="zh-CN" w:eastAsia="zh-CN" w:bidi="ar-SA"/>
        </w:rPr>
        <w:t>为实质性条款，必须响应，否则为无效标</w:t>
      </w:r>
      <w:r>
        <w:rPr>
          <w:rFonts w:hint="eastAsia" w:asciiTheme="minorEastAsia" w:hAnsiTheme="minorEastAsia" w:eastAsiaTheme="minorEastAsia" w:cstheme="minorEastAsia"/>
          <w:b/>
          <w:bCs/>
          <w:color w:val="333333"/>
          <w:kern w:val="0"/>
          <w:sz w:val="24"/>
          <w:szCs w:val="24"/>
          <w:shd w:val="clear" w:color="auto" w:fill="FFFFFF"/>
          <w:lang w:val="en-US" w:eastAsia="zh-CN" w:bidi="ar-SA"/>
        </w:rPr>
        <w:t>）：</w:t>
      </w:r>
    </w:p>
    <w:p w14:paraId="7BFC3642">
      <w:pPr>
        <w:keepNext w:val="0"/>
        <w:keepLines w:val="0"/>
        <w:pageBreakBefore w:val="0"/>
        <w:widowControl w:val="0"/>
        <w:spacing w:line="360" w:lineRule="auto"/>
        <w:ind w:firstLine="723" w:firstLineChars="300"/>
        <w:jc w:val="center"/>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射阳县海洋渔业船员意外伤害险保险条款</w:t>
      </w:r>
    </w:p>
    <w:p w14:paraId="2A761B01">
      <w:pPr>
        <w:keepNext w:val="0"/>
        <w:keepLines w:val="0"/>
        <w:pageBreakBefore w:val="0"/>
        <w:widowControl w:val="0"/>
        <w:spacing w:line="360" w:lineRule="auto"/>
        <w:ind w:firstLine="723" w:firstLineChars="300"/>
        <w:jc w:val="center"/>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总     则</w:t>
      </w:r>
    </w:p>
    <w:p w14:paraId="337132D4">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第一条　本射阳县海洋渔业船员意外伤害险保险合同（以下简称“本合同”）由本条款、射阳县海洋渔业船员意外伤害险保险凭证、批改单和投保人提供的相关材料等组成。凡涉及本合同的约定，均应采用书面形式。</w:t>
      </w:r>
    </w:p>
    <w:p w14:paraId="6057740B">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第二条  在我省渔业船舶(企业)登记机关登记的，从事渔业生产或为渔业生产服务的船舶或企业的所有人、经营人及承租人均可参加本射阳县海洋渔业船员意外伤害险保险，成为本会会员。</w:t>
      </w:r>
    </w:p>
    <w:p w14:paraId="651CEEF0">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第三条  本射阳县海洋渔业船员意外伤害险保险受益人为会员。</w:t>
      </w:r>
    </w:p>
    <w:p w14:paraId="73B16D5C">
      <w:pPr>
        <w:keepNext w:val="0"/>
        <w:keepLines w:val="0"/>
        <w:pageBreakBefore w:val="0"/>
        <w:widowControl w:val="0"/>
        <w:spacing w:line="360" w:lineRule="auto"/>
        <w:ind w:firstLine="2168" w:firstLineChars="9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射阳县海洋渔业船员意外伤害险保险责任</w:t>
      </w:r>
    </w:p>
    <w:p w14:paraId="566A1486">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第四条　在射阳县海洋渔业船员意外伤害险保险期限内，会员本人或与会员存在劳动雇佣关系的员工（以下简称“雇工”），因下列情形导致伤残或死亡，根据劳动雇佣合同或相关法律法规应由会员承担的死亡、伤残补偿金，本保险公司按本合同约定负责赔偿：</w:t>
      </w:r>
    </w:p>
    <w:p w14:paraId="714F573F">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（一）在工作时间和工作场所，因工作原因受到自然灾害、意外事故伤害或失踪；</w:t>
      </w:r>
    </w:p>
    <w:p w14:paraId="5779180F">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（二）因工外出期间，由于工作原因受到自然灾害、意外事故伤害或失踪；</w:t>
      </w:r>
    </w:p>
    <w:p w14:paraId="35514E0B">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（三）在抢险救灾等维护国家利益、公共利益活动中受到伤害或失踪；</w:t>
      </w:r>
    </w:p>
    <w:p w14:paraId="7971B78A">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（四）在海上作业期间，突发疾病导致死亡或在48小时内经抢救无效死亡的，按射阳县海洋渔业船员意外伤害险保险金额的50%计赔。</w:t>
      </w:r>
    </w:p>
    <w:p w14:paraId="6DF0BF5B">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射阳县海洋渔业船员意外伤害险保险期限</w:t>
      </w:r>
    </w:p>
    <w:p w14:paraId="0AE32E9D">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第五条　射阳县海洋渔业船员意外伤害险保险期限为一年,起讫时间以射阳县海洋渔业船员意外伤害险保险凭证载明的为准。除另有约定外，射阳县海洋渔业船员意外伤害险保险责任自会员按规定缴纳射阳县海洋渔业船员意外伤害险保险费之次日零时起生效。</w:t>
      </w:r>
    </w:p>
    <w:p w14:paraId="690BB6EF">
      <w:pPr>
        <w:keepNext w:val="0"/>
        <w:keepLines w:val="0"/>
        <w:pageBreakBefore w:val="0"/>
        <w:widowControl w:val="0"/>
        <w:spacing w:line="360" w:lineRule="auto"/>
        <w:ind w:firstLine="1928" w:firstLineChars="800"/>
        <w:rPr>
          <w:rFonts w:hint="eastAsia" w:asciiTheme="minorEastAsia" w:hAnsiTheme="minorEastAsia" w:eastAsiaTheme="minorEastAsia" w:cstheme="minorEastAsia"/>
          <w:b/>
          <w:bCs/>
          <w:color w:val="auto"/>
          <w:kern w:val="0"/>
          <w:sz w:val="24"/>
          <w:szCs w:val="24"/>
          <w:shd w:val="clear" w:color="auto" w:fill="FFFFFF"/>
          <w:lang w:val="en-US" w:eastAsia="zh-CN" w:bidi="ar-SA"/>
        </w:rPr>
      </w:pPr>
      <w:r>
        <w:rPr>
          <w:rFonts w:hint="eastAsia" w:asciiTheme="minorEastAsia" w:hAnsiTheme="minorEastAsia" w:eastAsiaTheme="minorEastAsia" w:cstheme="minorEastAsia"/>
          <w:b/>
          <w:bCs/>
          <w:color w:val="auto"/>
          <w:kern w:val="0"/>
          <w:sz w:val="24"/>
          <w:szCs w:val="24"/>
          <w:shd w:val="clear" w:color="auto" w:fill="FFFFFF"/>
          <w:lang w:val="en-US" w:eastAsia="zh-CN" w:bidi="ar-SA"/>
        </w:rPr>
        <w:t>射阳县海洋渔业船员意外伤害险保险金额</w:t>
      </w:r>
    </w:p>
    <w:p w14:paraId="051BDF44">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第六条　意外死亡的射阳县海洋渔业船员意外伤害险保险金额（以下简称“保额”）由本保险公司与会员双方约定，最低为每人人民币1万元，最高为每人人民币60万元。</w:t>
      </w:r>
    </w:p>
    <w:p w14:paraId="21DEC6A0">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意外伤残的保额由本会与会员双方约定，最低为每人人民币1万元，最高为每人人民币20万元。</w:t>
      </w:r>
    </w:p>
    <w:p w14:paraId="384D055C">
      <w:pPr>
        <w:keepNext w:val="0"/>
        <w:keepLines w:val="0"/>
        <w:pageBreakBefore w:val="0"/>
        <w:widowControl w:val="0"/>
        <w:spacing w:line="360" w:lineRule="auto"/>
        <w:ind w:firstLine="3855" w:firstLineChars="16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除外责任</w:t>
      </w:r>
    </w:p>
    <w:p w14:paraId="78D29249">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第七条　发生下列情形之一的，本保险公司不承担赔偿责任：</w:t>
      </w:r>
    </w:p>
    <w:p w14:paraId="2559E597">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（一）船舶不适航或养殖生产活动不符合安全生产条件；</w:t>
      </w:r>
    </w:p>
    <w:p w14:paraId="46BE0356">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（二）会员或其雇工的故意行为或欺诈行为；</w:t>
      </w:r>
    </w:p>
    <w:p w14:paraId="2698C5C3">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（三）会员或其雇工自杀、自残、自然死亡；</w:t>
      </w:r>
    </w:p>
    <w:p w14:paraId="56A06517">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（四）会员或其雇工因饮酒、精神失常、自身疾病，吸食、服用、注射毒品或管制药品而致死亡或伤残；</w:t>
      </w:r>
    </w:p>
    <w:p w14:paraId="041A9395">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 xml:space="preserve">（五）会员或其雇工饮酒驾驶机动车、电动车，准驾车型不符、无有效驾驶证或驾驶无有效行驶证的机动车等行为而致死亡或伤残； </w:t>
      </w:r>
    </w:p>
    <w:p w14:paraId="79F4E973">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（六）会员或其雇工参与殴斗、盗窃、偷渡、走私等违法犯罪活动而致死亡或伤残；</w:t>
      </w:r>
    </w:p>
    <w:p w14:paraId="1EAFA679">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（七）会员或其雇工违反休渔、禁渔规定作业以及电鱼、毒鱼、炸鱼等违法违规行为而致死亡或伤残；</w:t>
      </w:r>
    </w:p>
    <w:p w14:paraId="13553020">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（八）会员或其雇工从事与射阳县海洋渔业船员意外伤害险保险凭证上约定的渔业船舶（以下简称“会员船”）或企业无关的活动而致死亡、失踪或伤残；</w:t>
      </w:r>
    </w:p>
    <w:p w14:paraId="27E61E7E">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（九）整船满额不记名投保的，会员或其雇工在岸上发生的死亡、失踪或伤残；非会员或其雇佣的船员在会员船上发生的死亡或伤残；</w:t>
      </w:r>
    </w:p>
    <w:p w14:paraId="6230C2AF">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（十）会员变更、记名投保的雇工变更、会员船变更未办理批改手续；</w:t>
      </w:r>
    </w:p>
    <w:p w14:paraId="01C47DCD">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（十一）战争或军事行为、罢工、暴动、民众骚乱、恐怖活动、核辐射、核爆炸、核污染及其他放射性污染；</w:t>
      </w:r>
    </w:p>
    <w:p w14:paraId="5BD26AE6">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（十二）会员或其雇工的工资、奖金、罚金罚款、补助、精神损害赔偿等；</w:t>
      </w:r>
    </w:p>
    <w:p w14:paraId="1BF30B37">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（十三）其他不属于射阳县海洋渔业船员意外伤害险保险责任范围内的损失和费用。</w:t>
      </w:r>
    </w:p>
    <w:p w14:paraId="53254F0C">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第八条  会员或其雇工因工作原因驾驶电动车（除电动自行车外）导致死亡的按射阳县海洋渔业船员意外伤害险保险金额的50%计赔，导致伤残的按《射阳县海洋渔业船员意外伤害险保险伤残赔付比例表》所列伤残赔付比例的50%计赔。</w:t>
      </w:r>
    </w:p>
    <w:p w14:paraId="7EF57B79">
      <w:pPr>
        <w:keepNext w:val="0"/>
        <w:keepLines w:val="0"/>
        <w:pageBreakBefore w:val="0"/>
        <w:widowControl w:val="0"/>
        <w:spacing w:line="360" w:lineRule="auto"/>
        <w:ind w:firstLine="3855" w:firstLineChars="16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报    案</w:t>
      </w:r>
    </w:p>
    <w:p w14:paraId="0110C903">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第九条　发生本射阳县海洋渔业船员意外伤害险保险责任范围内的事故后，会员应利用最有效的通讯手段及时报告本保险公司和有关部门，并应在事故发生后或船舶到达第一港口后的24小时内，向本保险公司提交事故报告。</w:t>
      </w:r>
    </w:p>
    <w:p w14:paraId="7B7D5E16">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会员未及时报告，致使事故的性质、原因、损失程度等难以确定的，本保险公司有权拒绝赔偿或相应扣减赔款。</w:t>
      </w:r>
    </w:p>
    <w:p w14:paraId="48A64243">
      <w:pPr>
        <w:keepNext w:val="0"/>
        <w:keepLines w:val="0"/>
        <w:pageBreakBefore w:val="0"/>
        <w:widowControl w:val="0"/>
        <w:spacing w:line="360" w:lineRule="auto"/>
        <w:ind w:firstLine="3855" w:firstLineChars="16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索    赔</w:t>
      </w:r>
    </w:p>
    <w:p w14:paraId="70E897DC">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第十条　会员在索赔时应提供以下材料：</w:t>
      </w:r>
    </w:p>
    <w:p w14:paraId="2699F177">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（一）射阳县海洋渔业船员意外伤害险保险凭证会员联（影印件）；</w:t>
      </w:r>
    </w:p>
    <w:p w14:paraId="794CE53A">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（二）事故报告书和索赔申请书；</w:t>
      </w:r>
    </w:p>
    <w:p w14:paraId="390A6915">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（三）事故原因及责任认定证明材料；</w:t>
      </w:r>
    </w:p>
    <w:p w14:paraId="22535A0D">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（四）会员或其雇工死亡的，应提供公安部门、二级以上（含二级）医院或具有资质的鉴定机构出具的死亡原因证明以及公安部门出具的户口注销证明；</w:t>
      </w:r>
    </w:p>
    <w:p w14:paraId="35025F47">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会员或其雇工失踪的，应提供人民法院宣告失踪或宣告死亡的法律文件或公安部门出具的户口注销证明或失踪证明，或者事故调查机关出具的失踪证明材料；</w:t>
      </w:r>
    </w:p>
    <w:p w14:paraId="281F3A8D">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会员或其雇工伤残的，应提供二级以上（含二级）医院出具的医疗诊断证明或具有资质的鉴定机构出具的伤残鉴定证明；</w:t>
      </w:r>
    </w:p>
    <w:p w14:paraId="67E6B6E0">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 xml:space="preserve">（五）出险人员的身份证明、渔业船员证书、出海船民证及所在船舶的船舶户口簿(影印件)； </w:t>
      </w:r>
    </w:p>
    <w:p w14:paraId="4420A71F">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（六）会员与雇工间的劳动雇佣关系证明；</w:t>
      </w:r>
    </w:p>
    <w:p w14:paraId="1C403747">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（七）申请意外伤残住院医疗补助的，还需提供医院出具的住院治疗费、手术费、检查费、医药费、床位费发票以及出院小结等；</w:t>
      </w:r>
    </w:p>
    <w:p w14:paraId="74ED7E0E">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（八）伤害赔偿的赔偿协议、调解书、判决书或仲裁书；</w:t>
      </w:r>
    </w:p>
    <w:p w14:paraId="77A98AAF">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（九）受益人银行账户信息采集表；</w:t>
      </w:r>
    </w:p>
    <w:p w14:paraId="00253C02">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（十）本保险公司认为需要提供的其它证明材料。</w:t>
      </w:r>
    </w:p>
    <w:p w14:paraId="3E8C21D2">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第十一条　会员自射阳县海洋渔业船员意外伤害险保险事故发生之日起，两年内不向本保险公司提出书面索赔申请的，或者不提供本条款约定的索赔材料的，视作自动放弃索赔权益。</w:t>
      </w:r>
    </w:p>
    <w:p w14:paraId="52039883">
      <w:pPr>
        <w:keepNext w:val="0"/>
        <w:keepLines w:val="0"/>
        <w:pageBreakBefore w:val="0"/>
        <w:widowControl w:val="0"/>
        <w:spacing w:line="360" w:lineRule="auto"/>
        <w:ind w:firstLine="3614" w:firstLineChars="15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赔偿与补助</w:t>
      </w:r>
    </w:p>
    <w:p w14:paraId="2BF0A18C">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第十二条　本保险公司赔偿时按以下规定执行：</w:t>
      </w:r>
    </w:p>
    <w:p w14:paraId="25FB65C3">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（一）会员或其雇工意外死亡或失踪的，按保险公司承担的责任赔偿，最高赔偿金额以意外死亡的保额为限；</w:t>
      </w:r>
    </w:p>
    <w:p w14:paraId="00D8B153">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意外失踪赔付后若会员或雇工生还的，会员应在知道或应当知道其生还后30日内退还赔款。</w:t>
      </w:r>
    </w:p>
    <w:p w14:paraId="2205D56C">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（二）会员或其雇工意外造成《射阳县海洋渔业船员意外伤害险保险伤残赔付比例表》所列伤残，按保险公司承担的责任赔偿, 最高赔偿金额为：</w:t>
      </w:r>
    </w:p>
    <w:p w14:paraId="3CF21DE9">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意外伤残的最高赔偿金额=意外伤残的保额×伤残赔付比例。</w:t>
      </w:r>
    </w:p>
    <w:p w14:paraId="132659BD">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三）实行整船满额不记名投保的，发生事故时船上实际人数少于射阳县海洋渔业船员意外伤害险保险凭证中约定的射阳县海洋渔业船员意外伤害险保险人数时，按射阳县海洋渔业船员意外伤害险保险凭证约定的每个人的意外死亡保额或意外伤残保额计算赔偿；船上实际人数超过射阳县海洋渔业船员意外伤害险保险凭证中约定的射阳县海洋渔业船员意外伤害险保险人数时，按以下公式重新计算后的每个人的意外死亡保额或意外伤残保额计算赔偿。</w:t>
      </w:r>
    </w:p>
    <w:p w14:paraId="26F2AED5">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意外死亡（伤残）保额=射阳县海洋渔业船员意外伤害险保险凭证约定的意外死亡（伤残）保额×射阳县海洋渔业船员意外伤害险保险凭证约定的射阳县海洋渔业船员意外伤害险保险人数÷事故发生时船上的实际人数</w:t>
      </w:r>
    </w:p>
    <w:p w14:paraId="252ABC2E">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第十三条  会员或其雇工因意外伤害在二级以上（含二级）医院住院医疗费用超过2万元，且按《射阳县海洋渔业船员意外伤害险保险伤残赔付比例表》所列伤残赔付比例小于20%或不在所列伤残范围的，本保险公司给予意外伤害住院医疗补助：</w:t>
      </w:r>
    </w:p>
    <w:p w14:paraId="5D90BC86">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意外伤害住院医疗补助金额=（住院医疗费用－意外伤残赔款）×30%×意外伤残保额÷20万元</w:t>
      </w:r>
    </w:p>
    <w:p w14:paraId="2E5F7DC1">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住院医疗费用是指会员或其雇工自意外伤害事故发生之日起180日内，以该起意外伤害事故为直接原因所发生的治疗费、手术费、检查费、医药费和床位费。不包括安装假肢、假牙、假眼和其他残疾用具费用以及交通费、急救车费、营养费、误工费等其他费用。</w:t>
      </w:r>
    </w:p>
    <w:p w14:paraId="69F99642">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单起事故的意外伤害住院医疗补助金额以意外伤残保额的20%减去意外伤残赔款的差值为限。</w:t>
      </w:r>
    </w:p>
    <w:p w14:paraId="535A759F">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第十四条  射阳县海洋渔业船员意外伤害险保险期限内，会员或其雇工多次发生意外伤害的，其累计意外伤残赔偿金额与累计意外伤害住院医疗补助金额之和以约定的意外伤残保额为限。</w:t>
      </w:r>
    </w:p>
    <w:p w14:paraId="594BABBE">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同一意外伤害事故造成伤残并导致死亡的，按意外死亡计算赔偿。</w:t>
      </w:r>
    </w:p>
    <w:p w14:paraId="4D2B7C3E">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ab/>
      </w:r>
      <w:r>
        <w:rPr>
          <w:rFonts w:hint="eastAsia" w:asciiTheme="minorEastAsia" w:hAnsiTheme="minorEastAsia" w:eastAsiaTheme="minorEastAsia" w:cstheme="minorEastAsia"/>
          <w:color w:val="333333"/>
          <w:kern w:val="0"/>
          <w:sz w:val="24"/>
          <w:szCs w:val="24"/>
          <w:shd w:val="clear" w:color="auto" w:fill="FFFFFF"/>
          <w:lang w:val="en-US" w:eastAsia="zh-CN" w:bidi="ar-SA"/>
        </w:rPr>
        <w:t xml:space="preserve">            </w:t>
      </w:r>
      <w:r>
        <w:rPr>
          <w:rFonts w:hint="eastAsia" w:asciiTheme="minorEastAsia" w:hAnsiTheme="minorEastAsia" w:cstheme="minorEastAsia"/>
          <w:color w:val="333333"/>
          <w:kern w:val="0"/>
          <w:sz w:val="24"/>
          <w:szCs w:val="24"/>
          <w:shd w:val="clear" w:color="auto" w:fill="FFFFFF"/>
          <w:lang w:val="en-US" w:eastAsia="zh-CN" w:bidi="ar-SA"/>
        </w:rPr>
        <w:t xml:space="preserve"> </w:t>
      </w:r>
      <w:r>
        <w:rPr>
          <w:rFonts w:hint="eastAsia" w:asciiTheme="minorEastAsia" w:hAnsiTheme="minorEastAsia" w:cstheme="minorEastAsia"/>
          <w:b/>
          <w:bCs/>
          <w:color w:val="333333"/>
          <w:kern w:val="0"/>
          <w:sz w:val="24"/>
          <w:szCs w:val="24"/>
          <w:shd w:val="clear" w:color="auto" w:fill="FFFFFF"/>
          <w:lang w:val="en-US" w:eastAsia="zh-CN" w:bidi="ar-SA"/>
        </w:rPr>
        <w:t xml:space="preserve">          </w:t>
      </w:r>
      <w:r>
        <w:rPr>
          <w:rFonts w:hint="eastAsia" w:asciiTheme="minorEastAsia" w:hAnsiTheme="minorEastAsia" w:eastAsiaTheme="minorEastAsia" w:cstheme="minorEastAsia"/>
          <w:b/>
          <w:bCs/>
          <w:color w:val="333333"/>
          <w:kern w:val="0"/>
          <w:sz w:val="24"/>
          <w:szCs w:val="24"/>
          <w:shd w:val="clear" w:color="auto" w:fill="FFFFFF"/>
          <w:lang w:val="en-US" w:eastAsia="zh-CN" w:bidi="ar-SA"/>
        </w:rPr>
        <w:t xml:space="preserve"> 争议处理</w:t>
      </w:r>
    </w:p>
    <w:p w14:paraId="2628EE89">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第十五条　会员与本保险公司之间一切有关射阳县海洋渔业船员意外伤害险保险的争议，应通过友好协商解决。协商不成时，可提交仲裁机构仲裁或向法院提起诉讼。除另有约定外，诉讼应在被告住所地进行。</w:t>
      </w:r>
    </w:p>
    <w:p w14:paraId="187B9761">
      <w:pPr>
        <w:keepNext w:val="0"/>
        <w:keepLines w:val="0"/>
        <w:pageBreakBefore w:val="0"/>
        <w:widowControl w:val="0"/>
        <w:spacing w:line="360" w:lineRule="auto"/>
        <w:ind w:firstLine="3855" w:firstLineChars="1600"/>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eastAsiaTheme="minorEastAsia" w:cstheme="minorEastAsia"/>
          <w:b/>
          <w:bCs/>
          <w:color w:val="333333"/>
          <w:kern w:val="0"/>
          <w:sz w:val="24"/>
          <w:szCs w:val="24"/>
          <w:shd w:val="clear" w:color="auto" w:fill="FFFFFF"/>
          <w:lang w:val="en-US" w:eastAsia="zh-CN" w:bidi="ar-SA"/>
        </w:rPr>
        <w:t>解释权</w:t>
      </w:r>
    </w:p>
    <w:p w14:paraId="4649F801">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第十六条　本条款由本保险公司负责解释。</w:t>
      </w:r>
    </w:p>
    <w:p w14:paraId="360317F4">
      <w:pPr>
        <w:keepNext w:val="0"/>
        <w:keepLines w:val="0"/>
        <w:pageBreakBefore w:val="0"/>
        <w:widowControl w:val="0"/>
        <w:spacing w:line="360" w:lineRule="auto"/>
        <w:ind w:firstLine="720" w:firstLineChars="300"/>
        <w:rPr>
          <w:rFonts w:hint="eastAsia" w:asciiTheme="minorEastAsia" w:hAnsiTheme="minorEastAsia" w:eastAsiaTheme="minorEastAsia" w:cstheme="minorEastAsia"/>
          <w:color w:val="333333"/>
          <w:kern w:val="0"/>
          <w:sz w:val="24"/>
          <w:szCs w:val="24"/>
          <w:shd w:val="clear" w:color="auto" w:fill="FFFFFF"/>
          <w:lang w:val="en-US" w:eastAsia="zh-CN" w:bidi="ar-SA"/>
        </w:rPr>
      </w:pPr>
    </w:p>
    <w:p w14:paraId="70BF4AA3">
      <w:pPr>
        <w:keepNext w:val="0"/>
        <w:keepLines w:val="0"/>
        <w:pageBreakBefore w:val="0"/>
        <w:widowControl w:val="0"/>
        <w:spacing w:line="360" w:lineRule="auto"/>
        <w:ind w:firstLine="843" w:firstLineChars="300"/>
        <w:rPr>
          <w:rFonts w:hint="eastAsia" w:asciiTheme="minorEastAsia" w:hAnsiTheme="minorEastAsia" w:eastAsiaTheme="minorEastAsia" w:cstheme="minorEastAsia"/>
          <w:b/>
          <w:bCs/>
          <w:color w:val="333333"/>
          <w:kern w:val="0"/>
          <w:sz w:val="28"/>
          <w:szCs w:val="28"/>
          <w:shd w:val="clear" w:color="auto" w:fill="FFFFFF"/>
          <w:lang w:val="en-US" w:eastAsia="zh-CN" w:bidi="ar-SA"/>
        </w:rPr>
      </w:pPr>
      <w:r>
        <w:rPr>
          <w:rFonts w:hint="eastAsia" w:asciiTheme="minorEastAsia" w:hAnsiTheme="minorEastAsia" w:eastAsiaTheme="minorEastAsia" w:cstheme="minorEastAsia"/>
          <w:b/>
          <w:bCs/>
          <w:color w:val="333333"/>
          <w:kern w:val="0"/>
          <w:sz w:val="28"/>
          <w:szCs w:val="28"/>
          <w:shd w:val="clear" w:color="auto" w:fill="FFFFFF"/>
          <w:lang w:val="en-US" w:eastAsia="zh-CN" w:bidi="ar-SA"/>
        </w:rPr>
        <w:t>射阳县海洋渔业船员意外伤害险保险伤残赔付比例表</w:t>
      </w:r>
    </w:p>
    <w:p w14:paraId="2F419C94">
      <w:pPr>
        <w:ind w:firstLine="1256" w:firstLineChars="596"/>
        <w:rPr>
          <w:rFonts w:hint="eastAsia" w:ascii="仿宋" w:hAnsi="仿宋" w:eastAsia="仿宋" w:cs="仿宋"/>
          <w:b/>
        </w:rPr>
      </w:pPr>
    </w:p>
    <w:tbl>
      <w:tblPr>
        <w:tblStyle w:val="16"/>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669"/>
        <w:gridCol w:w="51"/>
        <w:gridCol w:w="4670"/>
        <w:gridCol w:w="146"/>
        <w:gridCol w:w="1277"/>
        <w:gridCol w:w="187"/>
        <w:gridCol w:w="1748"/>
        <w:gridCol w:w="44"/>
      </w:tblGrid>
      <w:tr w14:paraId="44EE7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1237" w:type="dxa"/>
            <w:gridSpan w:val="2"/>
            <w:noWrap w:val="0"/>
            <w:vAlign w:val="center"/>
          </w:tcPr>
          <w:p w14:paraId="0ACF372E">
            <w:pPr>
              <w:jc w:val="center"/>
              <w:rPr>
                <w:rFonts w:hint="eastAsia" w:ascii="仿宋" w:hAnsi="仿宋" w:eastAsia="仿宋" w:cs="仿宋"/>
                <w:sz w:val="24"/>
              </w:rPr>
            </w:pPr>
            <w:r>
              <w:rPr>
                <w:rFonts w:hint="eastAsia" w:ascii="仿宋" w:hAnsi="仿宋" w:eastAsia="仿宋" w:cs="仿宋"/>
                <w:sz w:val="24"/>
              </w:rPr>
              <w:t>伤残部位</w:t>
            </w:r>
          </w:p>
        </w:tc>
        <w:tc>
          <w:tcPr>
            <w:tcW w:w="4867" w:type="dxa"/>
            <w:gridSpan w:val="3"/>
            <w:noWrap w:val="0"/>
            <w:vAlign w:val="center"/>
          </w:tcPr>
          <w:p w14:paraId="5D44EE20">
            <w:pPr>
              <w:ind w:firstLine="1440" w:firstLineChars="600"/>
              <w:rPr>
                <w:rFonts w:hint="eastAsia" w:ascii="仿宋" w:hAnsi="仿宋" w:eastAsia="仿宋" w:cs="仿宋"/>
                <w:sz w:val="24"/>
              </w:rPr>
            </w:pPr>
            <w:r>
              <w:rPr>
                <w:rFonts w:hint="eastAsia" w:ascii="仿宋" w:hAnsi="仿宋" w:eastAsia="仿宋" w:cs="仿宋"/>
                <w:sz w:val="24"/>
              </w:rPr>
              <w:t>伤残程度</w:t>
            </w:r>
          </w:p>
        </w:tc>
        <w:tc>
          <w:tcPr>
            <w:tcW w:w="1277" w:type="dxa"/>
            <w:noWrap w:val="0"/>
            <w:vAlign w:val="center"/>
          </w:tcPr>
          <w:p w14:paraId="0868E162">
            <w:pPr>
              <w:jc w:val="center"/>
              <w:rPr>
                <w:rFonts w:hint="eastAsia" w:ascii="仿宋" w:hAnsi="仿宋" w:eastAsia="仿宋" w:cs="仿宋"/>
                <w:sz w:val="24"/>
              </w:rPr>
            </w:pPr>
            <w:r>
              <w:rPr>
                <w:rFonts w:hint="eastAsia" w:ascii="仿宋" w:hAnsi="仿宋" w:eastAsia="仿宋" w:cs="仿宋"/>
                <w:sz w:val="24"/>
              </w:rPr>
              <w:t>赔付比例</w:t>
            </w:r>
          </w:p>
        </w:tc>
        <w:tc>
          <w:tcPr>
            <w:tcW w:w="1979" w:type="dxa"/>
            <w:gridSpan w:val="3"/>
            <w:noWrap w:val="0"/>
            <w:vAlign w:val="center"/>
          </w:tcPr>
          <w:p w14:paraId="4860036C">
            <w:pPr>
              <w:jc w:val="center"/>
              <w:rPr>
                <w:rFonts w:hint="eastAsia" w:ascii="仿宋" w:hAnsi="仿宋" w:eastAsia="仿宋" w:cs="仿宋"/>
                <w:sz w:val="24"/>
              </w:rPr>
            </w:pPr>
            <w:r>
              <w:rPr>
                <w:rFonts w:hint="eastAsia" w:ascii="仿宋" w:hAnsi="仿宋" w:eastAsia="仿宋" w:cs="仿宋"/>
                <w:sz w:val="24"/>
              </w:rPr>
              <w:t>备   注</w:t>
            </w:r>
          </w:p>
        </w:tc>
      </w:tr>
      <w:tr w14:paraId="41A57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restart"/>
            <w:noWrap w:val="0"/>
            <w:vAlign w:val="center"/>
          </w:tcPr>
          <w:p w14:paraId="0A7827E5">
            <w:pPr>
              <w:jc w:val="center"/>
              <w:rPr>
                <w:rFonts w:hint="eastAsia" w:ascii="仿宋" w:hAnsi="仿宋" w:eastAsia="仿宋" w:cs="仿宋"/>
                <w:sz w:val="24"/>
              </w:rPr>
            </w:pPr>
            <w:r>
              <w:rPr>
                <w:rFonts w:hint="eastAsia" w:ascii="仿宋" w:hAnsi="仿宋" w:eastAsia="仿宋" w:cs="仿宋"/>
                <w:sz w:val="24"/>
              </w:rPr>
              <w:t>眼</w:t>
            </w:r>
          </w:p>
          <w:p w14:paraId="3EAFF19F">
            <w:pPr>
              <w:jc w:val="center"/>
              <w:rPr>
                <w:rFonts w:hint="eastAsia" w:ascii="仿宋" w:hAnsi="仿宋" w:eastAsia="仿宋" w:cs="仿宋"/>
                <w:sz w:val="24"/>
              </w:rPr>
            </w:pPr>
          </w:p>
          <w:p w14:paraId="6140980D">
            <w:pPr>
              <w:jc w:val="center"/>
              <w:rPr>
                <w:rFonts w:hint="eastAsia" w:ascii="仿宋" w:hAnsi="仿宋" w:eastAsia="仿宋" w:cs="仿宋"/>
                <w:sz w:val="24"/>
              </w:rPr>
            </w:pPr>
            <w:r>
              <w:rPr>
                <w:rFonts w:hint="eastAsia" w:ascii="仿宋" w:hAnsi="仿宋" w:eastAsia="仿宋" w:cs="仿宋"/>
                <w:sz w:val="24"/>
              </w:rPr>
              <w:t>睛</w:t>
            </w:r>
          </w:p>
        </w:tc>
        <w:tc>
          <w:tcPr>
            <w:tcW w:w="4867" w:type="dxa"/>
            <w:gridSpan w:val="3"/>
            <w:noWrap w:val="0"/>
            <w:vAlign w:val="center"/>
          </w:tcPr>
          <w:p w14:paraId="0F007F3D">
            <w:pPr>
              <w:rPr>
                <w:rFonts w:hint="eastAsia" w:ascii="仿宋" w:hAnsi="仿宋" w:eastAsia="仿宋" w:cs="仿宋"/>
                <w:sz w:val="24"/>
              </w:rPr>
            </w:pPr>
            <w:r>
              <w:rPr>
                <w:rFonts w:hint="eastAsia" w:ascii="仿宋" w:hAnsi="仿宋" w:eastAsia="仿宋" w:cs="仿宋"/>
                <w:sz w:val="24"/>
              </w:rPr>
              <w:t>双目均失明或完全失明</w:t>
            </w:r>
          </w:p>
        </w:tc>
        <w:tc>
          <w:tcPr>
            <w:tcW w:w="1277" w:type="dxa"/>
            <w:noWrap w:val="0"/>
            <w:vAlign w:val="center"/>
          </w:tcPr>
          <w:p w14:paraId="15EC4816">
            <w:pPr>
              <w:jc w:val="center"/>
              <w:rPr>
                <w:rFonts w:hint="eastAsia" w:ascii="仿宋" w:hAnsi="仿宋" w:eastAsia="仿宋" w:cs="仿宋"/>
                <w:sz w:val="24"/>
              </w:rPr>
            </w:pPr>
            <w:r>
              <w:rPr>
                <w:rFonts w:hint="eastAsia" w:ascii="仿宋" w:hAnsi="仿宋" w:eastAsia="仿宋" w:cs="仿宋"/>
                <w:sz w:val="24"/>
              </w:rPr>
              <w:t>100%</w:t>
            </w:r>
          </w:p>
        </w:tc>
        <w:tc>
          <w:tcPr>
            <w:tcW w:w="1979" w:type="dxa"/>
            <w:gridSpan w:val="3"/>
            <w:vMerge w:val="restart"/>
            <w:noWrap w:val="0"/>
            <w:vAlign w:val="center"/>
          </w:tcPr>
          <w:p w14:paraId="6C2B9D57">
            <w:pPr>
              <w:jc w:val="center"/>
              <w:rPr>
                <w:rFonts w:hint="eastAsia" w:ascii="仿宋" w:hAnsi="仿宋" w:eastAsia="仿宋" w:cs="仿宋"/>
                <w:sz w:val="24"/>
              </w:rPr>
            </w:pPr>
            <w:r>
              <w:rPr>
                <w:rFonts w:hint="eastAsia" w:ascii="仿宋" w:hAnsi="仿宋" w:eastAsia="仿宋" w:cs="仿宋"/>
                <w:sz w:val="24"/>
              </w:rPr>
              <w:t>视力减退</w:t>
            </w:r>
          </w:p>
          <w:p w14:paraId="6188FB6E">
            <w:pPr>
              <w:jc w:val="center"/>
              <w:rPr>
                <w:rFonts w:hint="eastAsia" w:ascii="仿宋" w:hAnsi="仿宋" w:eastAsia="仿宋" w:cs="仿宋"/>
                <w:sz w:val="24"/>
              </w:rPr>
            </w:pPr>
            <w:r>
              <w:rPr>
                <w:rFonts w:hint="eastAsia" w:ascii="仿宋" w:hAnsi="仿宋" w:eastAsia="仿宋" w:cs="仿宋"/>
                <w:sz w:val="24"/>
              </w:rPr>
              <w:t>包括矫正后</w:t>
            </w:r>
          </w:p>
          <w:p w14:paraId="7F170A3D">
            <w:pPr>
              <w:jc w:val="center"/>
              <w:rPr>
                <w:rFonts w:hint="eastAsia" w:ascii="仿宋" w:hAnsi="仿宋" w:eastAsia="仿宋" w:cs="仿宋"/>
                <w:sz w:val="24"/>
              </w:rPr>
            </w:pPr>
            <w:r>
              <w:rPr>
                <w:rFonts w:hint="eastAsia" w:ascii="仿宋" w:hAnsi="仿宋" w:eastAsia="仿宋" w:cs="仿宋"/>
                <w:sz w:val="24"/>
              </w:rPr>
              <w:t>高于0.05的</w:t>
            </w:r>
          </w:p>
          <w:p w14:paraId="4179521A">
            <w:pPr>
              <w:jc w:val="center"/>
              <w:rPr>
                <w:rFonts w:hint="eastAsia" w:ascii="仿宋" w:hAnsi="仿宋" w:eastAsia="仿宋" w:cs="仿宋"/>
                <w:sz w:val="24"/>
              </w:rPr>
            </w:pPr>
            <w:r>
              <w:rPr>
                <w:rFonts w:hint="eastAsia" w:ascii="仿宋" w:hAnsi="仿宋" w:eastAsia="仿宋" w:cs="仿宋"/>
                <w:sz w:val="24"/>
              </w:rPr>
              <w:t>不予理赔</w:t>
            </w:r>
          </w:p>
        </w:tc>
      </w:tr>
      <w:tr w14:paraId="08AB4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continue"/>
            <w:noWrap w:val="0"/>
            <w:vAlign w:val="center"/>
          </w:tcPr>
          <w:p w14:paraId="49799F51">
            <w:pPr>
              <w:jc w:val="center"/>
              <w:rPr>
                <w:rFonts w:hint="eastAsia" w:ascii="仿宋" w:hAnsi="仿宋" w:eastAsia="仿宋" w:cs="仿宋"/>
                <w:sz w:val="24"/>
              </w:rPr>
            </w:pPr>
          </w:p>
        </w:tc>
        <w:tc>
          <w:tcPr>
            <w:tcW w:w="4867" w:type="dxa"/>
            <w:gridSpan w:val="3"/>
            <w:noWrap w:val="0"/>
            <w:vAlign w:val="center"/>
          </w:tcPr>
          <w:p w14:paraId="42D36E34">
            <w:pPr>
              <w:rPr>
                <w:rFonts w:hint="eastAsia" w:ascii="仿宋" w:hAnsi="仿宋" w:eastAsia="仿宋" w:cs="仿宋"/>
                <w:sz w:val="24"/>
              </w:rPr>
            </w:pPr>
            <w:r>
              <w:rPr>
                <w:rFonts w:hint="eastAsia" w:ascii="仿宋" w:hAnsi="仿宋" w:eastAsia="仿宋" w:cs="仿宋"/>
                <w:sz w:val="24"/>
              </w:rPr>
              <w:t>一目丧失或完全失明或一目矫正视力低于0.02</w:t>
            </w:r>
          </w:p>
        </w:tc>
        <w:tc>
          <w:tcPr>
            <w:tcW w:w="1277" w:type="dxa"/>
            <w:noWrap w:val="0"/>
            <w:vAlign w:val="center"/>
          </w:tcPr>
          <w:p w14:paraId="3576585D">
            <w:pPr>
              <w:jc w:val="center"/>
              <w:rPr>
                <w:rFonts w:hint="eastAsia" w:ascii="仿宋" w:hAnsi="仿宋" w:eastAsia="仿宋" w:cs="仿宋"/>
                <w:sz w:val="24"/>
              </w:rPr>
            </w:pPr>
            <w:r>
              <w:rPr>
                <w:rFonts w:hint="eastAsia" w:ascii="仿宋" w:hAnsi="仿宋" w:eastAsia="仿宋" w:cs="仿宋"/>
                <w:sz w:val="24"/>
              </w:rPr>
              <w:t>30%</w:t>
            </w:r>
          </w:p>
        </w:tc>
        <w:tc>
          <w:tcPr>
            <w:tcW w:w="1979" w:type="dxa"/>
            <w:gridSpan w:val="3"/>
            <w:vMerge w:val="continue"/>
            <w:noWrap w:val="0"/>
            <w:vAlign w:val="center"/>
          </w:tcPr>
          <w:p w14:paraId="61AABE2D">
            <w:pPr>
              <w:jc w:val="center"/>
              <w:rPr>
                <w:rFonts w:hint="eastAsia" w:ascii="仿宋" w:hAnsi="仿宋" w:eastAsia="仿宋" w:cs="仿宋"/>
                <w:sz w:val="24"/>
              </w:rPr>
            </w:pPr>
          </w:p>
        </w:tc>
      </w:tr>
      <w:tr w14:paraId="41DC6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continue"/>
            <w:noWrap w:val="0"/>
            <w:vAlign w:val="center"/>
          </w:tcPr>
          <w:p w14:paraId="486F8FF7">
            <w:pPr>
              <w:jc w:val="center"/>
              <w:rPr>
                <w:rFonts w:hint="eastAsia" w:ascii="仿宋" w:hAnsi="仿宋" w:eastAsia="仿宋" w:cs="仿宋"/>
                <w:sz w:val="24"/>
              </w:rPr>
            </w:pPr>
          </w:p>
        </w:tc>
        <w:tc>
          <w:tcPr>
            <w:tcW w:w="4867" w:type="dxa"/>
            <w:gridSpan w:val="3"/>
            <w:noWrap w:val="0"/>
            <w:vAlign w:val="center"/>
          </w:tcPr>
          <w:p w14:paraId="104D5331">
            <w:pPr>
              <w:rPr>
                <w:rFonts w:hint="eastAsia" w:ascii="仿宋" w:hAnsi="仿宋" w:eastAsia="仿宋" w:cs="仿宋"/>
                <w:sz w:val="24"/>
              </w:rPr>
            </w:pPr>
            <w:r>
              <w:rPr>
                <w:rFonts w:hint="eastAsia" w:ascii="仿宋" w:hAnsi="仿宋" w:eastAsia="仿宋" w:cs="仿宋"/>
                <w:sz w:val="24"/>
              </w:rPr>
              <w:t>一目矫正视力低于0.05</w:t>
            </w:r>
          </w:p>
        </w:tc>
        <w:tc>
          <w:tcPr>
            <w:tcW w:w="1277" w:type="dxa"/>
            <w:noWrap w:val="0"/>
            <w:vAlign w:val="center"/>
          </w:tcPr>
          <w:p w14:paraId="5BB132A7">
            <w:pPr>
              <w:jc w:val="center"/>
              <w:rPr>
                <w:rFonts w:hint="eastAsia" w:ascii="仿宋" w:hAnsi="仿宋" w:eastAsia="仿宋" w:cs="仿宋"/>
                <w:sz w:val="24"/>
              </w:rPr>
            </w:pPr>
            <w:r>
              <w:rPr>
                <w:rFonts w:hint="eastAsia" w:ascii="仿宋" w:hAnsi="仿宋" w:eastAsia="仿宋" w:cs="仿宋"/>
                <w:sz w:val="24"/>
              </w:rPr>
              <w:t>10%</w:t>
            </w:r>
          </w:p>
        </w:tc>
        <w:tc>
          <w:tcPr>
            <w:tcW w:w="1979" w:type="dxa"/>
            <w:gridSpan w:val="3"/>
            <w:vMerge w:val="continue"/>
            <w:noWrap w:val="0"/>
            <w:vAlign w:val="center"/>
          </w:tcPr>
          <w:p w14:paraId="23B30EEF">
            <w:pPr>
              <w:jc w:val="center"/>
              <w:rPr>
                <w:rFonts w:hint="eastAsia" w:ascii="仿宋" w:hAnsi="仿宋" w:eastAsia="仿宋" w:cs="仿宋"/>
                <w:sz w:val="24"/>
              </w:rPr>
            </w:pPr>
          </w:p>
        </w:tc>
      </w:tr>
      <w:tr w14:paraId="7034B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restart"/>
            <w:noWrap w:val="0"/>
            <w:vAlign w:val="center"/>
          </w:tcPr>
          <w:p w14:paraId="27B35F82">
            <w:pPr>
              <w:jc w:val="center"/>
              <w:rPr>
                <w:rFonts w:hint="eastAsia" w:ascii="仿宋" w:hAnsi="仿宋" w:eastAsia="仿宋" w:cs="仿宋"/>
                <w:sz w:val="24"/>
              </w:rPr>
            </w:pPr>
            <w:r>
              <w:rPr>
                <w:rFonts w:hint="eastAsia" w:ascii="仿宋" w:hAnsi="仿宋" w:eastAsia="仿宋" w:cs="仿宋"/>
                <w:sz w:val="24"/>
              </w:rPr>
              <w:t>肢</w:t>
            </w:r>
          </w:p>
          <w:p w14:paraId="74349256">
            <w:pPr>
              <w:jc w:val="center"/>
              <w:rPr>
                <w:rFonts w:hint="eastAsia" w:ascii="仿宋" w:hAnsi="仿宋" w:eastAsia="仿宋" w:cs="仿宋"/>
                <w:sz w:val="24"/>
              </w:rPr>
            </w:pPr>
          </w:p>
          <w:p w14:paraId="21233F6D">
            <w:pPr>
              <w:jc w:val="center"/>
              <w:rPr>
                <w:rFonts w:hint="eastAsia" w:ascii="仿宋" w:hAnsi="仿宋" w:eastAsia="仿宋" w:cs="仿宋"/>
                <w:sz w:val="24"/>
              </w:rPr>
            </w:pPr>
            <w:r>
              <w:rPr>
                <w:rFonts w:hint="eastAsia" w:ascii="仿宋" w:hAnsi="仿宋" w:eastAsia="仿宋" w:cs="仿宋"/>
                <w:sz w:val="24"/>
              </w:rPr>
              <w:t>体</w:t>
            </w:r>
          </w:p>
        </w:tc>
        <w:tc>
          <w:tcPr>
            <w:tcW w:w="669" w:type="dxa"/>
            <w:vMerge w:val="restart"/>
            <w:noWrap w:val="0"/>
            <w:vAlign w:val="center"/>
          </w:tcPr>
          <w:p w14:paraId="5D84A442">
            <w:pPr>
              <w:jc w:val="center"/>
              <w:rPr>
                <w:rFonts w:hint="eastAsia" w:ascii="仿宋" w:hAnsi="仿宋" w:eastAsia="仿宋" w:cs="仿宋"/>
                <w:sz w:val="24"/>
              </w:rPr>
            </w:pPr>
            <w:r>
              <w:rPr>
                <w:rFonts w:hint="eastAsia" w:ascii="仿宋" w:hAnsi="仿宋" w:eastAsia="仿宋" w:cs="仿宋"/>
                <w:sz w:val="24"/>
              </w:rPr>
              <w:t>上</w:t>
            </w:r>
          </w:p>
          <w:p w14:paraId="101B1CD2">
            <w:pPr>
              <w:jc w:val="center"/>
              <w:rPr>
                <w:rFonts w:hint="eastAsia" w:ascii="仿宋" w:hAnsi="仿宋" w:eastAsia="仿宋" w:cs="仿宋"/>
                <w:sz w:val="24"/>
              </w:rPr>
            </w:pPr>
            <w:r>
              <w:rPr>
                <w:rFonts w:hint="eastAsia" w:ascii="仿宋" w:hAnsi="仿宋" w:eastAsia="仿宋" w:cs="仿宋"/>
                <w:sz w:val="24"/>
              </w:rPr>
              <w:t>下</w:t>
            </w:r>
          </w:p>
          <w:p w14:paraId="6BD769C0">
            <w:pPr>
              <w:jc w:val="center"/>
              <w:rPr>
                <w:rFonts w:hint="eastAsia" w:ascii="仿宋" w:hAnsi="仿宋" w:eastAsia="仿宋" w:cs="仿宋"/>
                <w:sz w:val="24"/>
              </w:rPr>
            </w:pPr>
            <w:r>
              <w:rPr>
                <w:rFonts w:hint="eastAsia" w:ascii="仿宋" w:hAnsi="仿宋" w:eastAsia="仿宋" w:cs="仿宋"/>
                <w:sz w:val="24"/>
              </w:rPr>
              <w:t>肢</w:t>
            </w:r>
          </w:p>
        </w:tc>
        <w:tc>
          <w:tcPr>
            <w:tcW w:w="4867" w:type="dxa"/>
            <w:gridSpan w:val="3"/>
            <w:noWrap w:val="0"/>
            <w:vAlign w:val="center"/>
          </w:tcPr>
          <w:p w14:paraId="7D739E51">
            <w:pPr>
              <w:rPr>
                <w:rFonts w:hint="eastAsia" w:ascii="仿宋" w:hAnsi="仿宋" w:eastAsia="仿宋" w:cs="仿宋"/>
                <w:sz w:val="24"/>
              </w:rPr>
            </w:pPr>
            <w:r>
              <w:rPr>
                <w:rFonts w:hint="eastAsia" w:ascii="仿宋" w:hAnsi="仿宋" w:eastAsia="仿宋" w:cs="仿宋"/>
                <w:sz w:val="24"/>
              </w:rPr>
              <w:t>两上肢自手腕以上或两下肢自踝关节以上缺失</w:t>
            </w:r>
          </w:p>
        </w:tc>
        <w:tc>
          <w:tcPr>
            <w:tcW w:w="1277" w:type="dxa"/>
            <w:noWrap w:val="0"/>
            <w:vAlign w:val="center"/>
          </w:tcPr>
          <w:p w14:paraId="29766B94">
            <w:pPr>
              <w:jc w:val="center"/>
              <w:rPr>
                <w:rFonts w:hint="eastAsia" w:ascii="仿宋" w:hAnsi="仿宋" w:eastAsia="仿宋" w:cs="仿宋"/>
                <w:sz w:val="24"/>
              </w:rPr>
            </w:pPr>
            <w:r>
              <w:rPr>
                <w:rFonts w:hint="eastAsia" w:ascii="仿宋" w:hAnsi="仿宋" w:eastAsia="仿宋" w:cs="仿宋"/>
                <w:sz w:val="24"/>
              </w:rPr>
              <w:t>100%</w:t>
            </w:r>
          </w:p>
        </w:tc>
        <w:tc>
          <w:tcPr>
            <w:tcW w:w="1979" w:type="dxa"/>
            <w:gridSpan w:val="3"/>
            <w:noWrap w:val="0"/>
            <w:vAlign w:val="center"/>
          </w:tcPr>
          <w:p w14:paraId="5D48D69E">
            <w:pPr>
              <w:jc w:val="center"/>
              <w:rPr>
                <w:rFonts w:hint="eastAsia" w:ascii="仿宋" w:hAnsi="仿宋" w:eastAsia="仿宋" w:cs="仿宋"/>
                <w:sz w:val="24"/>
              </w:rPr>
            </w:pPr>
          </w:p>
        </w:tc>
      </w:tr>
      <w:tr w14:paraId="2DAB2F67">
        <w:tblPrEx>
          <w:tblCellMar>
            <w:top w:w="0" w:type="dxa"/>
            <w:left w:w="108" w:type="dxa"/>
            <w:bottom w:w="0" w:type="dxa"/>
            <w:right w:w="108" w:type="dxa"/>
          </w:tblCellMar>
        </w:tblPrEx>
        <w:trPr>
          <w:trHeight w:val="454" w:hRule="atLeast"/>
          <w:jc w:val="center"/>
        </w:trPr>
        <w:tc>
          <w:tcPr>
            <w:tcW w:w="568" w:type="dxa"/>
            <w:vMerge w:val="continue"/>
            <w:noWrap w:val="0"/>
            <w:vAlign w:val="center"/>
          </w:tcPr>
          <w:p w14:paraId="6DDAC74C">
            <w:pPr>
              <w:jc w:val="center"/>
              <w:rPr>
                <w:rFonts w:hint="eastAsia" w:ascii="仿宋" w:hAnsi="仿宋" w:eastAsia="仿宋" w:cs="仿宋"/>
                <w:sz w:val="24"/>
              </w:rPr>
            </w:pPr>
          </w:p>
        </w:tc>
        <w:tc>
          <w:tcPr>
            <w:tcW w:w="669" w:type="dxa"/>
            <w:vMerge w:val="continue"/>
            <w:noWrap w:val="0"/>
            <w:vAlign w:val="center"/>
          </w:tcPr>
          <w:p w14:paraId="3F7AB8A3">
            <w:pPr>
              <w:jc w:val="center"/>
              <w:rPr>
                <w:rFonts w:hint="eastAsia" w:ascii="仿宋" w:hAnsi="仿宋" w:eastAsia="仿宋" w:cs="仿宋"/>
                <w:sz w:val="24"/>
              </w:rPr>
            </w:pPr>
          </w:p>
        </w:tc>
        <w:tc>
          <w:tcPr>
            <w:tcW w:w="4867" w:type="dxa"/>
            <w:gridSpan w:val="3"/>
            <w:noWrap w:val="0"/>
            <w:vAlign w:val="center"/>
          </w:tcPr>
          <w:p w14:paraId="177FE3B4">
            <w:pPr>
              <w:rPr>
                <w:rFonts w:hint="eastAsia" w:ascii="仿宋" w:hAnsi="仿宋" w:eastAsia="仿宋" w:cs="仿宋"/>
                <w:sz w:val="24"/>
              </w:rPr>
            </w:pPr>
            <w:r>
              <w:rPr>
                <w:rFonts w:hint="eastAsia" w:ascii="仿宋" w:hAnsi="仿宋" w:eastAsia="仿宋" w:cs="仿宋"/>
                <w:sz w:val="24"/>
              </w:rPr>
              <w:t>一上肢自手腕以上或一下肢自踝关节以上缺失</w:t>
            </w:r>
          </w:p>
        </w:tc>
        <w:tc>
          <w:tcPr>
            <w:tcW w:w="1277" w:type="dxa"/>
            <w:noWrap w:val="0"/>
            <w:vAlign w:val="center"/>
          </w:tcPr>
          <w:p w14:paraId="63F1F89F">
            <w:pPr>
              <w:jc w:val="center"/>
              <w:rPr>
                <w:rFonts w:hint="eastAsia" w:ascii="仿宋" w:hAnsi="仿宋" w:eastAsia="仿宋" w:cs="仿宋"/>
                <w:sz w:val="24"/>
              </w:rPr>
            </w:pPr>
            <w:r>
              <w:rPr>
                <w:rFonts w:hint="eastAsia" w:ascii="仿宋" w:hAnsi="仿宋" w:eastAsia="仿宋" w:cs="仿宋"/>
                <w:sz w:val="24"/>
              </w:rPr>
              <w:t>50%</w:t>
            </w:r>
          </w:p>
        </w:tc>
        <w:tc>
          <w:tcPr>
            <w:tcW w:w="1979" w:type="dxa"/>
            <w:gridSpan w:val="3"/>
            <w:noWrap w:val="0"/>
            <w:vAlign w:val="center"/>
          </w:tcPr>
          <w:p w14:paraId="3D89DD97">
            <w:pPr>
              <w:jc w:val="center"/>
              <w:rPr>
                <w:rFonts w:hint="eastAsia" w:ascii="仿宋" w:hAnsi="仿宋" w:eastAsia="仿宋" w:cs="仿宋"/>
                <w:sz w:val="24"/>
              </w:rPr>
            </w:pPr>
          </w:p>
        </w:tc>
      </w:tr>
      <w:tr w14:paraId="387AB3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0231F57B">
            <w:pPr>
              <w:jc w:val="center"/>
              <w:rPr>
                <w:rFonts w:hint="eastAsia" w:ascii="仿宋" w:hAnsi="仿宋" w:eastAsia="仿宋" w:cs="仿宋"/>
                <w:sz w:val="24"/>
              </w:rPr>
            </w:pPr>
          </w:p>
        </w:tc>
        <w:tc>
          <w:tcPr>
            <w:tcW w:w="669" w:type="dxa"/>
            <w:vMerge w:val="continue"/>
            <w:noWrap w:val="0"/>
            <w:vAlign w:val="center"/>
          </w:tcPr>
          <w:p w14:paraId="2D183B63">
            <w:pPr>
              <w:jc w:val="center"/>
              <w:rPr>
                <w:rFonts w:hint="eastAsia" w:ascii="仿宋" w:hAnsi="仿宋" w:eastAsia="仿宋" w:cs="仿宋"/>
                <w:sz w:val="24"/>
              </w:rPr>
            </w:pPr>
          </w:p>
        </w:tc>
        <w:tc>
          <w:tcPr>
            <w:tcW w:w="4867" w:type="dxa"/>
            <w:gridSpan w:val="3"/>
            <w:noWrap w:val="0"/>
            <w:vAlign w:val="center"/>
          </w:tcPr>
          <w:p w14:paraId="38189427">
            <w:pPr>
              <w:rPr>
                <w:rFonts w:hint="eastAsia" w:ascii="仿宋" w:hAnsi="仿宋" w:eastAsia="仿宋" w:cs="仿宋"/>
                <w:sz w:val="24"/>
              </w:rPr>
            </w:pPr>
            <w:r>
              <w:rPr>
                <w:rFonts w:hint="eastAsia" w:ascii="仿宋" w:hAnsi="仿宋" w:eastAsia="仿宋" w:cs="仿宋"/>
                <w:sz w:val="24"/>
              </w:rPr>
              <w:t>一肢粉碎性骨折,伴肢体一处关节功能丧失</w:t>
            </w:r>
          </w:p>
        </w:tc>
        <w:tc>
          <w:tcPr>
            <w:tcW w:w="1277" w:type="dxa"/>
            <w:noWrap w:val="0"/>
            <w:vAlign w:val="center"/>
          </w:tcPr>
          <w:p w14:paraId="60540126">
            <w:pPr>
              <w:jc w:val="center"/>
              <w:rPr>
                <w:rFonts w:hint="eastAsia" w:ascii="仿宋" w:hAnsi="仿宋" w:eastAsia="仿宋" w:cs="仿宋"/>
                <w:sz w:val="24"/>
              </w:rPr>
            </w:pPr>
            <w:r>
              <w:rPr>
                <w:rFonts w:hint="eastAsia" w:ascii="仿宋" w:hAnsi="仿宋" w:eastAsia="仿宋" w:cs="仿宋"/>
                <w:sz w:val="24"/>
              </w:rPr>
              <w:t>15%</w:t>
            </w:r>
          </w:p>
        </w:tc>
        <w:tc>
          <w:tcPr>
            <w:tcW w:w="1979" w:type="dxa"/>
            <w:gridSpan w:val="3"/>
            <w:noWrap w:val="0"/>
            <w:vAlign w:val="center"/>
          </w:tcPr>
          <w:p w14:paraId="18D8A827">
            <w:pPr>
              <w:jc w:val="center"/>
              <w:rPr>
                <w:rFonts w:hint="eastAsia" w:ascii="仿宋" w:hAnsi="仿宋" w:eastAsia="仿宋" w:cs="仿宋"/>
                <w:sz w:val="24"/>
              </w:rPr>
            </w:pPr>
          </w:p>
        </w:tc>
      </w:tr>
      <w:tr w14:paraId="5AA06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06CBEA3C">
            <w:pPr>
              <w:jc w:val="center"/>
              <w:rPr>
                <w:rFonts w:hint="eastAsia" w:ascii="仿宋" w:hAnsi="仿宋" w:eastAsia="仿宋" w:cs="仿宋"/>
                <w:sz w:val="24"/>
              </w:rPr>
            </w:pPr>
          </w:p>
        </w:tc>
        <w:tc>
          <w:tcPr>
            <w:tcW w:w="669" w:type="dxa"/>
            <w:vMerge w:val="continue"/>
            <w:noWrap w:val="0"/>
            <w:vAlign w:val="center"/>
          </w:tcPr>
          <w:p w14:paraId="35919DD3">
            <w:pPr>
              <w:jc w:val="center"/>
              <w:rPr>
                <w:rFonts w:hint="eastAsia" w:ascii="仿宋" w:hAnsi="仿宋" w:eastAsia="仿宋" w:cs="仿宋"/>
                <w:sz w:val="24"/>
              </w:rPr>
            </w:pPr>
          </w:p>
        </w:tc>
        <w:tc>
          <w:tcPr>
            <w:tcW w:w="4867" w:type="dxa"/>
            <w:gridSpan w:val="3"/>
            <w:noWrap w:val="0"/>
            <w:vAlign w:val="center"/>
          </w:tcPr>
          <w:p w14:paraId="1A4B3AE8">
            <w:pPr>
              <w:rPr>
                <w:rFonts w:hint="eastAsia" w:ascii="仿宋" w:hAnsi="仿宋" w:eastAsia="仿宋" w:cs="仿宋"/>
                <w:sz w:val="24"/>
              </w:rPr>
            </w:pPr>
            <w:r>
              <w:rPr>
                <w:rFonts w:hint="eastAsia" w:ascii="仿宋" w:hAnsi="仿宋" w:eastAsia="仿宋" w:cs="仿宋"/>
                <w:sz w:val="24"/>
              </w:rPr>
              <w:t>一肢(包括手或足掌骨)粉碎性或一肢开放性骨折</w:t>
            </w:r>
          </w:p>
        </w:tc>
        <w:tc>
          <w:tcPr>
            <w:tcW w:w="1277" w:type="dxa"/>
            <w:noWrap w:val="0"/>
            <w:vAlign w:val="center"/>
          </w:tcPr>
          <w:p w14:paraId="4649E4CF">
            <w:pPr>
              <w:jc w:val="center"/>
              <w:rPr>
                <w:rFonts w:hint="eastAsia" w:ascii="仿宋" w:hAnsi="仿宋" w:eastAsia="仿宋" w:cs="仿宋"/>
                <w:sz w:val="24"/>
              </w:rPr>
            </w:pPr>
            <w:r>
              <w:rPr>
                <w:rFonts w:hint="eastAsia" w:ascii="仿宋" w:hAnsi="仿宋" w:eastAsia="仿宋" w:cs="仿宋"/>
                <w:sz w:val="24"/>
              </w:rPr>
              <w:t>10%</w:t>
            </w:r>
          </w:p>
        </w:tc>
        <w:tc>
          <w:tcPr>
            <w:tcW w:w="1979" w:type="dxa"/>
            <w:gridSpan w:val="3"/>
            <w:noWrap w:val="0"/>
            <w:vAlign w:val="center"/>
          </w:tcPr>
          <w:p w14:paraId="2D94443A">
            <w:pPr>
              <w:jc w:val="center"/>
              <w:rPr>
                <w:rFonts w:hint="eastAsia" w:ascii="仿宋" w:hAnsi="仿宋" w:eastAsia="仿宋" w:cs="仿宋"/>
                <w:sz w:val="24"/>
              </w:rPr>
            </w:pPr>
          </w:p>
        </w:tc>
      </w:tr>
      <w:tr w14:paraId="0B2D7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1CACC812">
            <w:pPr>
              <w:jc w:val="center"/>
              <w:rPr>
                <w:rFonts w:hint="eastAsia" w:ascii="仿宋" w:hAnsi="仿宋" w:eastAsia="仿宋" w:cs="仿宋"/>
                <w:sz w:val="24"/>
              </w:rPr>
            </w:pPr>
          </w:p>
        </w:tc>
        <w:tc>
          <w:tcPr>
            <w:tcW w:w="669" w:type="dxa"/>
            <w:vMerge w:val="continue"/>
            <w:noWrap w:val="0"/>
            <w:vAlign w:val="center"/>
          </w:tcPr>
          <w:p w14:paraId="690C2F39">
            <w:pPr>
              <w:jc w:val="center"/>
              <w:rPr>
                <w:rFonts w:hint="eastAsia" w:ascii="仿宋" w:hAnsi="仿宋" w:eastAsia="仿宋" w:cs="仿宋"/>
                <w:sz w:val="24"/>
              </w:rPr>
            </w:pPr>
          </w:p>
        </w:tc>
        <w:tc>
          <w:tcPr>
            <w:tcW w:w="4867" w:type="dxa"/>
            <w:gridSpan w:val="3"/>
            <w:noWrap w:val="0"/>
            <w:vAlign w:val="center"/>
          </w:tcPr>
          <w:p w14:paraId="2C94F834">
            <w:pPr>
              <w:rPr>
                <w:rFonts w:hint="eastAsia" w:ascii="仿宋" w:hAnsi="仿宋" w:eastAsia="仿宋" w:cs="仿宋"/>
                <w:sz w:val="24"/>
              </w:rPr>
            </w:pPr>
            <w:r>
              <w:rPr>
                <w:rFonts w:hint="eastAsia" w:ascii="仿宋" w:hAnsi="仿宋" w:eastAsia="仿宋" w:cs="仿宋"/>
                <w:sz w:val="24"/>
              </w:rPr>
              <w:t>一肢骨折(包括手或足掌骨)</w:t>
            </w:r>
          </w:p>
        </w:tc>
        <w:tc>
          <w:tcPr>
            <w:tcW w:w="1277" w:type="dxa"/>
            <w:noWrap w:val="0"/>
            <w:vAlign w:val="center"/>
          </w:tcPr>
          <w:p w14:paraId="702D6246">
            <w:pPr>
              <w:jc w:val="center"/>
              <w:rPr>
                <w:rFonts w:hint="eastAsia" w:ascii="仿宋" w:hAnsi="仿宋" w:eastAsia="仿宋" w:cs="仿宋"/>
                <w:sz w:val="24"/>
              </w:rPr>
            </w:pPr>
            <w:r>
              <w:rPr>
                <w:rFonts w:hint="eastAsia" w:ascii="仿宋" w:hAnsi="仿宋" w:eastAsia="仿宋" w:cs="仿宋"/>
                <w:sz w:val="24"/>
              </w:rPr>
              <w:t>5%</w:t>
            </w:r>
          </w:p>
        </w:tc>
        <w:tc>
          <w:tcPr>
            <w:tcW w:w="1979" w:type="dxa"/>
            <w:gridSpan w:val="3"/>
            <w:noWrap w:val="0"/>
            <w:vAlign w:val="center"/>
          </w:tcPr>
          <w:p w14:paraId="665E0F8C">
            <w:pPr>
              <w:jc w:val="center"/>
              <w:rPr>
                <w:rFonts w:hint="eastAsia" w:ascii="仿宋" w:hAnsi="仿宋" w:eastAsia="仿宋" w:cs="仿宋"/>
                <w:sz w:val="24"/>
              </w:rPr>
            </w:pPr>
          </w:p>
        </w:tc>
      </w:tr>
      <w:tr w14:paraId="17BDE106">
        <w:tblPrEx>
          <w:tblCellMar>
            <w:top w:w="0" w:type="dxa"/>
            <w:left w:w="108" w:type="dxa"/>
            <w:bottom w:w="0" w:type="dxa"/>
            <w:right w:w="108" w:type="dxa"/>
          </w:tblCellMar>
        </w:tblPrEx>
        <w:trPr>
          <w:trHeight w:val="454" w:hRule="atLeast"/>
          <w:jc w:val="center"/>
        </w:trPr>
        <w:tc>
          <w:tcPr>
            <w:tcW w:w="568" w:type="dxa"/>
            <w:vMerge w:val="continue"/>
            <w:noWrap w:val="0"/>
            <w:vAlign w:val="center"/>
          </w:tcPr>
          <w:p w14:paraId="0EFB94A3">
            <w:pPr>
              <w:jc w:val="center"/>
              <w:rPr>
                <w:rFonts w:hint="eastAsia" w:ascii="仿宋" w:hAnsi="仿宋" w:eastAsia="仿宋" w:cs="仿宋"/>
                <w:sz w:val="24"/>
              </w:rPr>
            </w:pPr>
          </w:p>
        </w:tc>
        <w:tc>
          <w:tcPr>
            <w:tcW w:w="669" w:type="dxa"/>
            <w:vMerge w:val="restart"/>
            <w:noWrap w:val="0"/>
            <w:vAlign w:val="center"/>
          </w:tcPr>
          <w:p w14:paraId="0F57EAE4">
            <w:pPr>
              <w:jc w:val="center"/>
              <w:rPr>
                <w:rFonts w:hint="eastAsia" w:ascii="仿宋" w:hAnsi="仿宋" w:eastAsia="仿宋" w:cs="仿宋"/>
                <w:sz w:val="24"/>
              </w:rPr>
            </w:pPr>
            <w:r>
              <w:rPr>
                <w:rFonts w:hint="eastAsia" w:ascii="仿宋" w:hAnsi="仿宋" w:eastAsia="仿宋" w:cs="仿宋"/>
                <w:sz w:val="24"/>
              </w:rPr>
              <w:t>手</w:t>
            </w:r>
          </w:p>
          <w:p w14:paraId="28248184">
            <w:pPr>
              <w:jc w:val="center"/>
              <w:rPr>
                <w:rFonts w:hint="eastAsia" w:ascii="仿宋" w:hAnsi="仿宋" w:eastAsia="仿宋" w:cs="仿宋"/>
                <w:sz w:val="24"/>
              </w:rPr>
            </w:pPr>
          </w:p>
          <w:p w14:paraId="19DF082A">
            <w:pPr>
              <w:jc w:val="center"/>
              <w:rPr>
                <w:rFonts w:hint="eastAsia" w:ascii="仿宋" w:hAnsi="仿宋" w:eastAsia="仿宋" w:cs="仿宋"/>
                <w:sz w:val="24"/>
              </w:rPr>
            </w:pPr>
          </w:p>
          <w:p w14:paraId="11AD2085">
            <w:pPr>
              <w:jc w:val="center"/>
              <w:rPr>
                <w:rFonts w:hint="eastAsia" w:ascii="仿宋" w:hAnsi="仿宋" w:eastAsia="仿宋" w:cs="仿宋"/>
                <w:sz w:val="24"/>
              </w:rPr>
            </w:pPr>
            <w:r>
              <w:rPr>
                <w:rFonts w:hint="eastAsia" w:ascii="仿宋" w:hAnsi="仿宋" w:eastAsia="仿宋" w:cs="仿宋"/>
                <w:sz w:val="24"/>
              </w:rPr>
              <w:t>指</w:t>
            </w:r>
          </w:p>
        </w:tc>
        <w:tc>
          <w:tcPr>
            <w:tcW w:w="4867" w:type="dxa"/>
            <w:gridSpan w:val="3"/>
            <w:noWrap w:val="0"/>
            <w:vAlign w:val="center"/>
          </w:tcPr>
          <w:p w14:paraId="674C1281">
            <w:pPr>
              <w:rPr>
                <w:rFonts w:hint="eastAsia" w:ascii="仿宋" w:hAnsi="仿宋" w:eastAsia="仿宋" w:cs="仿宋"/>
                <w:sz w:val="24"/>
              </w:rPr>
            </w:pPr>
            <w:r>
              <w:rPr>
                <w:rFonts w:hint="eastAsia" w:ascii="仿宋" w:hAnsi="仿宋" w:eastAsia="仿宋" w:cs="仿宋"/>
                <w:sz w:val="24"/>
              </w:rPr>
              <w:t>十个手指缺失</w:t>
            </w:r>
          </w:p>
        </w:tc>
        <w:tc>
          <w:tcPr>
            <w:tcW w:w="1277" w:type="dxa"/>
            <w:noWrap w:val="0"/>
            <w:vAlign w:val="center"/>
          </w:tcPr>
          <w:p w14:paraId="27E05D18">
            <w:pPr>
              <w:jc w:val="center"/>
              <w:rPr>
                <w:rFonts w:hint="eastAsia" w:ascii="仿宋" w:hAnsi="仿宋" w:eastAsia="仿宋" w:cs="仿宋"/>
                <w:sz w:val="24"/>
              </w:rPr>
            </w:pPr>
            <w:r>
              <w:rPr>
                <w:rFonts w:hint="eastAsia" w:ascii="仿宋" w:hAnsi="仿宋" w:eastAsia="仿宋" w:cs="仿宋"/>
                <w:sz w:val="24"/>
              </w:rPr>
              <w:t>75%</w:t>
            </w:r>
          </w:p>
        </w:tc>
        <w:tc>
          <w:tcPr>
            <w:tcW w:w="1979" w:type="dxa"/>
            <w:gridSpan w:val="3"/>
            <w:vMerge w:val="restart"/>
            <w:noWrap w:val="0"/>
            <w:vAlign w:val="center"/>
          </w:tcPr>
          <w:p w14:paraId="564961FB">
            <w:pPr>
              <w:jc w:val="center"/>
              <w:rPr>
                <w:rFonts w:hint="eastAsia" w:ascii="仿宋" w:hAnsi="仿宋" w:eastAsia="仿宋" w:cs="仿宋"/>
                <w:sz w:val="24"/>
              </w:rPr>
            </w:pPr>
            <w:r>
              <w:rPr>
                <w:rFonts w:hint="eastAsia" w:ascii="仿宋" w:hAnsi="仿宋" w:eastAsia="仿宋" w:cs="仿宋"/>
                <w:sz w:val="24"/>
              </w:rPr>
              <w:t>仅缺失手指一节或两节的,按完全缺失的50%理赔，断指再接的按缺失的50%理赔</w:t>
            </w:r>
          </w:p>
        </w:tc>
      </w:tr>
      <w:tr w14:paraId="5F816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5BB48F70">
            <w:pPr>
              <w:jc w:val="center"/>
              <w:rPr>
                <w:rFonts w:hint="eastAsia" w:ascii="仿宋" w:hAnsi="仿宋" w:eastAsia="仿宋" w:cs="仿宋"/>
                <w:sz w:val="24"/>
              </w:rPr>
            </w:pPr>
          </w:p>
        </w:tc>
        <w:tc>
          <w:tcPr>
            <w:tcW w:w="669" w:type="dxa"/>
            <w:vMerge w:val="continue"/>
            <w:noWrap w:val="0"/>
            <w:vAlign w:val="center"/>
          </w:tcPr>
          <w:p w14:paraId="1D1FF6B9">
            <w:pPr>
              <w:jc w:val="center"/>
              <w:rPr>
                <w:rFonts w:hint="eastAsia" w:ascii="仿宋" w:hAnsi="仿宋" w:eastAsia="仿宋" w:cs="仿宋"/>
                <w:sz w:val="24"/>
              </w:rPr>
            </w:pPr>
          </w:p>
        </w:tc>
        <w:tc>
          <w:tcPr>
            <w:tcW w:w="4867" w:type="dxa"/>
            <w:gridSpan w:val="3"/>
            <w:noWrap w:val="0"/>
            <w:vAlign w:val="center"/>
          </w:tcPr>
          <w:p w14:paraId="5EDCAE07">
            <w:pPr>
              <w:rPr>
                <w:rFonts w:hint="eastAsia" w:ascii="仿宋" w:hAnsi="仿宋" w:eastAsia="仿宋" w:cs="仿宋"/>
                <w:sz w:val="24"/>
              </w:rPr>
            </w:pPr>
            <w:r>
              <w:rPr>
                <w:rFonts w:hint="eastAsia" w:ascii="仿宋" w:hAnsi="仿宋" w:eastAsia="仿宋" w:cs="仿宋"/>
                <w:sz w:val="24"/>
              </w:rPr>
              <w:t>十个手指功能完全丧失</w:t>
            </w:r>
          </w:p>
        </w:tc>
        <w:tc>
          <w:tcPr>
            <w:tcW w:w="1277" w:type="dxa"/>
            <w:noWrap w:val="0"/>
            <w:vAlign w:val="center"/>
          </w:tcPr>
          <w:p w14:paraId="54C88713">
            <w:pPr>
              <w:jc w:val="center"/>
              <w:rPr>
                <w:rFonts w:hint="eastAsia" w:ascii="仿宋" w:hAnsi="仿宋" w:eastAsia="仿宋" w:cs="仿宋"/>
                <w:sz w:val="24"/>
              </w:rPr>
            </w:pPr>
            <w:r>
              <w:rPr>
                <w:rFonts w:hint="eastAsia" w:ascii="仿宋" w:hAnsi="仿宋" w:eastAsia="仿宋" w:cs="仿宋"/>
                <w:sz w:val="24"/>
              </w:rPr>
              <w:t>50%</w:t>
            </w:r>
          </w:p>
        </w:tc>
        <w:tc>
          <w:tcPr>
            <w:tcW w:w="1979" w:type="dxa"/>
            <w:gridSpan w:val="3"/>
            <w:vMerge w:val="continue"/>
            <w:noWrap w:val="0"/>
            <w:vAlign w:val="center"/>
          </w:tcPr>
          <w:p w14:paraId="438ECEF2">
            <w:pPr>
              <w:jc w:val="center"/>
              <w:rPr>
                <w:rFonts w:hint="eastAsia" w:ascii="仿宋" w:hAnsi="仿宋" w:eastAsia="仿宋" w:cs="仿宋"/>
                <w:sz w:val="24"/>
              </w:rPr>
            </w:pPr>
          </w:p>
        </w:tc>
      </w:tr>
      <w:tr w14:paraId="60832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640DC155">
            <w:pPr>
              <w:jc w:val="center"/>
              <w:rPr>
                <w:rFonts w:hint="eastAsia" w:ascii="仿宋" w:hAnsi="仿宋" w:eastAsia="仿宋" w:cs="仿宋"/>
                <w:sz w:val="24"/>
              </w:rPr>
            </w:pPr>
          </w:p>
        </w:tc>
        <w:tc>
          <w:tcPr>
            <w:tcW w:w="669" w:type="dxa"/>
            <w:vMerge w:val="continue"/>
            <w:noWrap w:val="0"/>
            <w:vAlign w:val="center"/>
          </w:tcPr>
          <w:p w14:paraId="02F36430">
            <w:pPr>
              <w:jc w:val="center"/>
              <w:rPr>
                <w:rFonts w:hint="eastAsia" w:ascii="仿宋" w:hAnsi="仿宋" w:eastAsia="仿宋" w:cs="仿宋"/>
                <w:sz w:val="24"/>
              </w:rPr>
            </w:pPr>
          </w:p>
        </w:tc>
        <w:tc>
          <w:tcPr>
            <w:tcW w:w="4867" w:type="dxa"/>
            <w:gridSpan w:val="3"/>
            <w:noWrap w:val="0"/>
            <w:vAlign w:val="center"/>
          </w:tcPr>
          <w:p w14:paraId="2F2C5787">
            <w:pPr>
              <w:rPr>
                <w:rFonts w:hint="eastAsia" w:ascii="仿宋" w:hAnsi="仿宋" w:eastAsia="仿宋" w:cs="仿宋"/>
                <w:sz w:val="24"/>
              </w:rPr>
            </w:pPr>
            <w:r>
              <w:rPr>
                <w:rFonts w:hint="eastAsia" w:ascii="仿宋" w:hAnsi="仿宋" w:eastAsia="仿宋" w:cs="仿宋"/>
                <w:sz w:val="24"/>
              </w:rPr>
              <w:t>一个拇指缺失</w:t>
            </w:r>
          </w:p>
        </w:tc>
        <w:tc>
          <w:tcPr>
            <w:tcW w:w="1277" w:type="dxa"/>
            <w:noWrap w:val="0"/>
            <w:vAlign w:val="center"/>
          </w:tcPr>
          <w:p w14:paraId="33F58B47">
            <w:pPr>
              <w:jc w:val="center"/>
              <w:rPr>
                <w:rFonts w:hint="eastAsia" w:ascii="仿宋" w:hAnsi="仿宋" w:eastAsia="仿宋" w:cs="仿宋"/>
                <w:sz w:val="24"/>
              </w:rPr>
            </w:pPr>
            <w:r>
              <w:rPr>
                <w:rFonts w:hint="eastAsia" w:ascii="仿宋" w:hAnsi="仿宋" w:eastAsia="仿宋" w:cs="仿宋"/>
                <w:sz w:val="24"/>
              </w:rPr>
              <w:t>10%</w:t>
            </w:r>
          </w:p>
        </w:tc>
        <w:tc>
          <w:tcPr>
            <w:tcW w:w="1979" w:type="dxa"/>
            <w:gridSpan w:val="3"/>
            <w:vMerge w:val="continue"/>
            <w:noWrap w:val="0"/>
            <w:vAlign w:val="center"/>
          </w:tcPr>
          <w:p w14:paraId="72FD3B15">
            <w:pPr>
              <w:jc w:val="center"/>
              <w:rPr>
                <w:rFonts w:hint="eastAsia" w:ascii="仿宋" w:hAnsi="仿宋" w:eastAsia="仿宋" w:cs="仿宋"/>
                <w:sz w:val="24"/>
              </w:rPr>
            </w:pPr>
          </w:p>
        </w:tc>
      </w:tr>
      <w:tr w14:paraId="5384C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7B8B958F">
            <w:pPr>
              <w:jc w:val="center"/>
              <w:rPr>
                <w:rFonts w:hint="eastAsia" w:ascii="仿宋" w:hAnsi="仿宋" w:eastAsia="仿宋" w:cs="仿宋"/>
                <w:sz w:val="24"/>
              </w:rPr>
            </w:pPr>
          </w:p>
        </w:tc>
        <w:tc>
          <w:tcPr>
            <w:tcW w:w="669" w:type="dxa"/>
            <w:vMerge w:val="continue"/>
            <w:noWrap w:val="0"/>
            <w:vAlign w:val="center"/>
          </w:tcPr>
          <w:p w14:paraId="3F2CFAFD">
            <w:pPr>
              <w:jc w:val="center"/>
              <w:rPr>
                <w:rFonts w:hint="eastAsia" w:ascii="仿宋" w:hAnsi="仿宋" w:eastAsia="仿宋" w:cs="仿宋"/>
                <w:sz w:val="24"/>
              </w:rPr>
            </w:pPr>
          </w:p>
        </w:tc>
        <w:tc>
          <w:tcPr>
            <w:tcW w:w="4867" w:type="dxa"/>
            <w:gridSpan w:val="3"/>
            <w:noWrap w:val="0"/>
            <w:vAlign w:val="center"/>
          </w:tcPr>
          <w:p w14:paraId="7A507CF8">
            <w:pPr>
              <w:rPr>
                <w:rFonts w:hint="eastAsia" w:ascii="仿宋" w:hAnsi="仿宋" w:eastAsia="仿宋" w:cs="仿宋"/>
                <w:sz w:val="24"/>
              </w:rPr>
            </w:pPr>
            <w:r>
              <w:rPr>
                <w:rFonts w:hint="eastAsia" w:ascii="仿宋" w:hAnsi="仿宋" w:eastAsia="仿宋" w:cs="仿宋"/>
                <w:sz w:val="24"/>
              </w:rPr>
              <w:t>除拇指外，每缺失一指</w:t>
            </w:r>
          </w:p>
        </w:tc>
        <w:tc>
          <w:tcPr>
            <w:tcW w:w="1277" w:type="dxa"/>
            <w:noWrap w:val="0"/>
            <w:vAlign w:val="center"/>
          </w:tcPr>
          <w:p w14:paraId="74745D90">
            <w:pPr>
              <w:jc w:val="center"/>
              <w:rPr>
                <w:rFonts w:hint="eastAsia" w:ascii="仿宋" w:hAnsi="仿宋" w:eastAsia="仿宋" w:cs="仿宋"/>
                <w:color w:val="000000"/>
                <w:sz w:val="24"/>
              </w:rPr>
            </w:pPr>
            <w:r>
              <w:rPr>
                <w:rFonts w:hint="eastAsia" w:ascii="仿宋" w:hAnsi="仿宋" w:eastAsia="仿宋" w:cs="仿宋"/>
                <w:color w:val="000000"/>
                <w:sz w:val="24"/>
              </w:rPr>
              <w:t>5</w:t>
            </w:r>
            <w:r>
              <w:rPr>
                <w:rFonts w:hint="eastAsia" w:ascii="仿宋" w:hAnsi="仿宋" w:eastAsia="仿宋" w:cs="仿宋"/>
                <w:sz w:val="24"/>
              </w:rPr>
              <w:t>%</w:t>
            </w:r>
          </w:p>
        </w:tc>
        <w:tc>
          <w:tcPr>
            <w:tcW w:w="1979" w:type="dxa"/>
            <w:gridSpan w:val="3"/>
            <w:vMerge w:val="continue"/>
            <w:noWrap w:val="0"/>
            <w:vAlign w:val="center"/>
          </w:tcPr>
          <w:p w14:paraId="42C814D6">
            <w:pPr>
              <w:jc w:val="center"/>
              <w:rPr>
                <w:rFonts w:hint="eastAsia" w:ascii="仿宋" w:hAnsi="仿宋" w:eastAsia="仿宋" w:cs="仿宋"/>
                <w:sz w:val="24"/>
              </w:rPr>
            </w:pPr>
          </w:p>
        </w:tc>
      </w:tr>
      <w:tr w14:paraId="26DA5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637CC81E">
            <w:pPr>
              <w:jc w:val="center"/>
              <w:rPr>
                <w:rFonts w:hint="eastAsia" w:ascii="仿宋" w:hAnsi="仿宋" w:eastAsia="仿宋" w:cs="仿宋"/>
                <w:sz w:val="24"/>
              </w:rPr>
            </w:pPr>
          </w:p>
        </w:tc>
        <w:tc>
          <w:tcPr>
            <w:tcW w:w="669" w:type="dxa"/>
            <w:vMerge w:val="continue"/>
            <w:noWrap w:val="0"/>
            <w:vAlign w:val="center"/>
          </w:tcPr>
          <w:p w14:paraId="25E66329">
            <w:pPr>
              <w:jc w:val="center"/>
              <w:rPr>
                <w:rFonts w:hint="eastAsia" w:ascii="仿宋" w:hAnsi="仿宋" w:eastAsia="仿宋" w:cs="仿宋"/>
                <w:sz w:val="24"/>
              </w:rPr>
            </w:pPr>
          </w:p>
        </w:tc>
        <w:tc>
          <w:tcPr>
            <w:tcW w:w="4867" w:type="dxa"/>
            <w:gridSpan w:val="3"/>
            <w:noWrap w:val="0"/>
            <w:vAlign w:val="center"/>
          </w:tcPr>
          <w:p w14:paraId="3DA8D492">
            <w:pPr>
              <w:rPr>
                <w:rFonts w:hint="eastAsia" w:ascii="仿宋" w:hAnsi="仿宋" w:eastAsia="仿宋" w:cs="仿宋"/>
                <w:sz w:val="24"/>
              </w:rPr>
            </w:pPr>
            <w:r>
              <w:rPr>
                <w:rFonts w:hint="eastAsia" w:ascii="仿宋" w:hAnsi="仿宋" w:eastAsia="仿宋" w:cs="仿宋"/>
                <w:sz w:val="24"/>
              </w:rPr>
              <w:t>一指骨折</w:t>
            </w:r>
          </w:p>
        </w:tc>
        <w:tc>
          <w:tcPr>
            <w:tcW w:w="1277" w:type="dxa"/>
            <w:noWrap w:val="0"/>
            <w:vAlign w:val="center"/>
          </w:tcPr>
          <w:p w14:paraId="664098BC">
            <w:pPr>
              <w:jc w:val="center"/>
              <w:rPr>
                <w:rFonts w:hint="eastAsia" w:ascii="仿宋" w:hAnsi="仿宋" w:eastAsia="仿宋" w:cs="仿宋"/>
                <w:sz w:val="24"/>
              </w:rPr>
            </w:pPr>
            <w:r>
              <w:rPr>
                <w:rFonts w:hint="eastAsia" w:ascii="仿宋" w:hAnsi="仿宋" w:eastAsia="仿宋" w:cs="仿宋"/>
                <w:sz w:val="24"/>
              </w:rPr>
              <w:t>1%</w:t>
            </w:r>
          </w:p>
        </w:tc>
        <w:tc>
          <w:tcPr>
            <w:tcW w:w="1979" w:type="dxa"/>
            <w:gridSpan w:val="3"/>
            <w:vMerge w:val="continue"/>
            <w:noWrap w:val="0"/>
            <w:vAlign w:val="center"/>
          </w:tcPr>
          <w:p w14:paraId="0F794054">
            <w:pPr>
              <w:jc w:val="center"/>
              <w:rPr>
                <w:rFonts w:hint="eastAsia" w:ascii="仿宋" w:hAnsi="仿宋" w:eastAsia="仿宋" w:cs="仿宋"/>
                <w:sz w:val="24"/>
              </w:rPr>
            </w:pPr>
          </w:p>
        </w:tc>
      </w:tr>
      <w:tr w14:paraId="4795B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568" w:type="dxa"/>
            <w:vMerge w:val="continue"/>
            <w:noWrap w:val="0"/>
            <w:vAlign w:val="center"/>
          </w:tcPr>
          <w:p w14:paraId="7A318FF4">
            <w:pPr>
              <w:jc w:val="center"/>
              <w:rPr>
                <w:rFonts w:hint="eastAsia" w:ascii="仿宋" w:hAnsi="仿宋" w:eastAsia="仿宋" w:cs="仿宋"/>
                <w:sz w:val="24"/>
              </w:rPr>
            </w:pPr>
          </w:p>
        </w:tc>
        <w:tc>
          <w:tcPr>
            <w:tcW w:w="669" w:type="dxa"/>
            <w:vMerge w:val="restart"/>
            <w:noWrap w:val="0"/>
            <w:vAlign w:val="center"/>
          </w:tcPr>
          <w:p w14:paraId="05B512E3">
            <w:pPr>
              <w:jc w:val="center"/>
              <w:rPr>
                <w:rFonts w:hint="eastAsia" w:ascii="仿宋" w:hAnsi="仿宋" w:eastAsia="仿宋" w:cs="仿宋"/>
                <w:sz w:val="24"/>
              </w:rPr>
            </w:pPr>
            <w:r>
              <w:rPr>
                <w:rFonts w:hint="eastAsia" w:ascii="仿宋" w:hAnsi="仿宋" w:eastAsia="仿宋" w:cs="仿宋"/>
                <w:sz w:val="24"/>
              </w:rPr>
              <w:t>足</w:t>
            </w:r>
          </w:p>
          <w:p w14:paraId="5345B69E">
            <w:pPr>
              <w:jc w:val="center"/>
              <w:rPr>
                <w:rFonts w:hint="eastAsia" w:ascii="仿宋" w:hAnsi="仿宋" w:eastAsia="仿宋" w:cs="仿宋"/>
                <w:sz w:val="24"/>
              </w:rPr>
            </w:pPr>
          </w:p>
          <w:p w14:paraId="78C11D7D">
            <w:pPr>
              <w:jc w:val="center"/>
              <w:rPr>
                <w:rFonts w:hint="eastAsia" w:ascii="仿宋" w:hAnsi="仿宋" w:eastAsia="仿宋" w:cs="仿宋"/>
                <w:sz w:val="24"/>
              </w:rPr>
            </w:pPr>
            <w:r>
              <w:rPr>
                <w:rFonts w:hint="eastAsia" w:ascii="仿宋" w:hAnsi="仿宋" w:eastAsia="仿宋" w:cs="仿宋"/>
                <w:sz w:val="24"/>
              </w:rPr>
              <w:t>趾</w:t>
            </w:r>
          </w:p>
        </w:tc>
        <w:tc>
          <w:tcPr>
            <w:tcW w:w="4867" w:type="dxa"/>
            <w:gridSpan w:val="3"/>
            <w:noWrap w:val="0"/>
            <w:vAlign w:val="center"/>
          </w:tcPr>
          <w:p w14:paraId="6AAEF597">
            <w:pPr>
              <w:rPr>
                <w:rFonts w:hint="eastAsia" w:ascii="仿宋" w:hAnsi="仿宋" w:eastAsia="仿宋" w:cs="仿宋"/>
                <w:sz w:val="24"/>
              </w:rPr>
            </w:pPr>
            <w:r>
              <w:rPr>
                <w:rFonts w:hint="eastAsia" w:ascii="仿宋" w:hAnsi="仿宋" w:eastAsia="仿宋" w:cs="仿宋"/>
                <w:sz w:val="24"/>
              </w:rPr>
              <w:t>十个足趾缺失</w:t>
            </w:r>
          </w:p>
        </w:tc>
        <w:tc>
          <w:tcPr>
            <w:tcW w:w="1277" w:type="dxa"/>
            <w:noWrap w:val="0"/>
            <w:vAlign w:val="center"/>
          </w:tcPr>
          <w:p w14:paraId="13034B2E">
            <w:pPr>
              <w:jc w:val="center"/>
              <w:rPr>
                <w:rFonts w:hint="eastAsia" w:ascii="仿宋" w:hAnsi="仿宋" w:eastAsia="仿宋" w:cs="仿宋"/>
                <w:sz w:val="24"/>
              </w:rPr>
            </w:pPr>
            <w:r>
              <w:rPr>
                <w:rFonts w:hint="eastAsia" w:ascii="仿宋" w:hAnsi="仿宋" w:eastAsia="仿宋" w:cs="仿宋"/>
                <w:sz w:val="24"/>
              </w:rPr>
              <w:t>50%</w:t>
            </w:r>
          </w:p>
        </w:tc>
        <w:tc>
          <w:tcPr>
            <w:tcW w:w="1979" w:type="dxa"/>
            <w:gridSpan w:val="3"/>
            <w:vMerge w:val="restart"/>
            <w:noWrap w:val="0"/>
            <w:vAlign w:val="center"/>
          </w:tcPr>
          <w:p w14:paraId="08CC8978">
            <w:pPr>
              <w:jc w:val="center"/>
              <w:rPr>
                <w:rFonts w:hint="eastAsia" w:ascii="仿宋" w:hAnsi="仿宋" w:eastAsia="仿宋" w:cs="仿宋"/>
                <w:sz w:val="24"/>
              </w:rPr>
            </w:pPr>
            <w:r>
              <w:rPr>
                <w:rFonts w:hint="eastAsia" w:ascii="仿宋" w:hAnsi="仿宋" w:eastAsia="仿宋" w:cs="仿宋"/>
                <w:sz w:val="24"/>
              </w:rPr>
              <w:t>仅缺失足趾一节或两节,按完全缺失的50%理赔, 断趾再接的按缺失的50%理赔</w:t>
            </w:r>
          </w:p>
        </w:tc>
      </w:tr>
      <w:tr w14:paraId="40471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568" w:type="dxa"/>
            <w:vMerge w:val="continue"/>
            <w:noWrap w:val="0"/>
            <w:vAlign w:val="center"/>
          </w:tcPr>
          <w:p w14:paraId="1696051D">
            <w:pPr>
              <w:jc w:val="center"/>
              <w:rPr>
                <w:rFonts w:hint="eastAsia" w:ascii="仿宋" w:hAnsi="仿宋" w:eastAsia="仿宋" w:cs="仿宋"/>
                <w:sz w:val="24"/>
              </w:rPr>
            </w:pPr>
          </w:p>
        </w:tc>
        <w:tc>
          <w:tcPr>
            <w:tcW w:w="669" w:type="dxa"/>
            <w:vMerge w:val="continue"/>
            <w:noWrap w:val="0"/>
            <w:vAlign w:val="center"/>
          </w:tcPr>
          <w:p w14:paraId="2D74D20B">
            <w:pPr>
              <w:jc w:val="center"/>
              <w:rPr>
                <w:rFonts w:hint="eastAsia" w:ascii="仿宋" w:hAnsi="仿宋" w:eastAsia="仿宋" w:cs="仿宋"/>
                <w:sz w:val="24"/>
              </w:rPr>
            </w:pPr>
          </w:p>
        </w:tc>
        <w:tc>
          <w:tcPr>
            <w:tcW w:w="4867" w:type="dxa"/>
            <w:gridSpan w:val="3"/>
            <w:noWrap w:val="0"/>
            <w:vAlign w:val="center"/>
          </w:tcPr>
          <w:p w14:paraId="3416AC98">
            <w:pPr>
              <w:rPr>
                <w:rFonts w:hint="eastAsia" w:ascii="仿宋" w:hAnsi="仿宋" w:eastAsia="仿宋" w:cs="仿宋"/>
                <w:sz w:val="24"/>
              </w:rPr>
            </w:pPr>
            <w:r>
              <w:rPr>
                <w:rFonts w:hint="eastAsia" w:ascii="仿宋" w:hAnsi="仿宋" w:eastAsia="仿宋" w:cs="仿宋"/>
                <w:sz w:val="24"/>
              </w:rPr>
              <w:t>十个足趾功能全部丧失</w:t>
            </w:r>
          </w:p>
        </w:tc>
        <w:tc>
          <w:tcPr>
            <w:tcW w:w="1277" w:type="dxa"/>
            <w:noWrap w:val="0"/>
            <w:vAlign w:val="center"/>
          </w:tcPr>
          <w:p w14:paraId="5AFF6547">
            <w:pPr>
              <w:jc w:val="center"/>
              <w:rPr>
                <w:rFonts w:hint="eastAsia" w:ascii="仿宋" w:hAnsi="仿宋" w:eastAsia="仿宋" w:cs="仿宋"/>
                <w:sz w:val="24"/>
              </w:rPr>
            </w:pPr>
            <w:r>
              <w:rPr>
                <w:rFonts w:hint="eastAsia" w:ascii="仿宋" w:hAnsi="仿宋" w:eastAsia="仿宋" w:cs="仿宋"/>
                <w:sz w:val="24"/>
              </w:rPr>
              <w:t>30%</w:t>
            </w:r>
          </w:p>
        </w:tc>
        <w:tc>
          <w:tcPr>
            <w:tcW w:w="1979" w:type="dxa"/>
            <w:gridSpan w:val="3"/>
            <w:vMerge w:val="continue"/>
            <w:noWrap w:val="0"/>
            <w:vAlign w:val="center"/>
          </w:tcPr>
          <w:p w14:paraId="286B5AB2">
            <w:pPr>
              <w:jc w:val="center"/>
              <w:rPr>
                <w:rFonts w:hint="eastAsia" w:ascii="仿宋" w:hAnsi="仿宋" w:eastAsia="仿宋" w:cs="仿宋"/>
                <w:sz w:val="24"/>
              </w:rPr>
            </w:pPr>
          </w:p>
        </w:tc>
      </w:tr>
      <w:tr w14:paraId="38632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568" w:type="dxa"/>
            <w:vMerge w:val="continue"/>
            <w:noWrap w:val="0"/>
            <w:vAlign w:val="center"/>
          </w:tcPr>
          <w:p w14:paraId="3576EF26">
            <w:pPr>
              <w:jc w:val="center"/>
              <w:rPr>
                <w:rFonts w:hint="eastAsia" w:ascii="仿宋" w:hAnsi="仿宋" w:eastAsia="仿宋" w:cs="仿宋"/>
                <w:sz w:val="24"/>
              </w:rPr>
            </w:pPr>
          </w:p>
        </w:tc>
        <w:tc>
          <w:tcPr>
            <w:tcW w:w="669" w:type="dxa"/>
            <w:vMerge w:val="continue"/>
            <w:noWrap w:val="0"/>
            <w:vAlign w:val="center"/>
          </w:tcPr>
          <w:p w14:paraId="7E5CDEEF">
            <w:pPr>
              <w:jc w:val="center"/>
              <w:rPr>
                <w:rFonts w:hint="eastAsia" w:ascii="仿宋" w:hAnsi="仿宋" w:eastAsia="仿宋" w:cs="仿宋"/>
                <w:sz w:val="24"/>
              </w:rPr>
            </w:pPr>
          </w:p>
        </w:tc>
        <w:tc>
          <w:tcPr>
            <w:tcW w:w="4867" w:type="dxa"/>
            <w:gridSpan w:val="3"/>
            <w:noWrap w:val="0"/>
            <w:vAlign w:val="center"/>
          </w:tcPr>
          <w:p w14:paraId="7D293852">
            <w:pPr>
              <w:rPr>
                <w:rFonts w:hint="eastAsia" w:ascii="仿宋" w:hAnsi="仿宋" w:eastAsia="仿宋" w:cs="仿宋"/>
                <w:sz w:val="24"/>
              </w:rPr>
            </w:pPr>
            <w:r>
              <w:rPr>
                <w:rFonts w:hint="eastAsia" w:ascii="仿宋" w:hAnsi="仿宋" w:eastAsia="仿宋" w:cs="仿宋"/>
                <w:sz w:val="24"/>
              </w:rPr>
              <w:t>一拇趾缺失</w:t>
            </w:r>
          </w:p>
        </w:tc>
        <w:tc>
          <w:tcPr>
            <w:tcW w:w="1277" w:type="dxa"/>
            <w:noWrap w:val="0"/>
            <w:vAlign w:val="center"/>
          </w:tcPr>
          <w:p w14:paraId="3A9A47F4">
            <w:pPr>
              <w:jc w:val="center"/>
              <w:rPr>
                <w:rFonts w:hint="eastAsia" w:ascii="仿宋" w:hAnsi="仿宋" w:eastAsia="仿宋" w:cs="仿宋"/>
                <w:sz w:val="24"/>
              </w:rPr>
            </w:pPr>
            <w:r>
              <w:rPr>
                <w:rFonts w:hint="eastAsia" w:ascii="仿宋" w:hAnsi="仿宋" w:eastAsia="仿宋" w:cs="仿宋"/>
                <w:sz w:val="24"/>
              </w:rPr>
              <w:t>5%</w:t>
            </w:r>
          </w:p>
        </w:tc>
        <w:tc>
          <w:tcPr>
            <w:tcW w:w="1979" w:type="dxa"/>
            <w:gridSpan w:val="3"/>
            <w:vMerge w:val="continue"/>
            <w:noWrap w:val="0"/>
            <w:vAlign w:val="center"/>
          </w:tcPr>
          <w:p w14:paraId="3228C7C8">
            <w:pPr>
              <w:jc w:val="center"/>
              <w:rPr>
                <w:rFonts w:hint="eastAsia" w:ascii="仿宋" w:hAnsi="仿宋" w:eastAsia="仿宋" w:cs="仿宋"/>
                <w:sz w:val="24"/>
              </w:rPr>
            </w:pPr>
          </w:p>
        </w:tc>
      </w:tr>
      <w:tr w14:paraId="06BC6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568" w:type="dxa"/>
            <w:vMerge w:val="continue"/>
            <w:noWrap w:val="0"/>
            <w:vAlign w:val="center"/>
          </w:tcPr>
          <w:p w14:paraId="30D733EE">
            <w:pPr>
              <w:jc w:val="center"/>
              <w:rPr>
                <w:rFonts w:hint="eastAsia" w:ascii="仿宋" w:hAnsi="仿宋" w:eastAsia="仿宋" w:cs="仿宋"/>
                <w:sz w:val="24"/>
              </w:rPr>
            </w:pPr>
          </w:p>
        </w:tc>
        <w:tc>
          <w:tcPr>
            <w:tcW w:w="669" w:type="dxa"/>
            <w:vMerge w:val="continue"/>
            <w:noWrap w:val="0"/>
            <w:vAlign w:val="center"/>
          </w:tcPr>
          <w:p w14:paraId="13908134">
            <w:pPr>
              <w:jc w:val="center"/>
              <w:rPr>
                <w:rFonts w:hint="eastAsia" w:ascii="仿宋" w:hAnsi="仿宋" w:eastAsia="仿宋" w:cs="仿宋"/>
                <w:sz w:val="24"/>
              </w:rPr>
            </w:pPr>
          </w:p>
        </w:tc>
        <w:tc>
          <w:tcPr>
            <w:tcW w:w="4867" w:type="dxa"/>
            <w:gridSpan w:val="3"/>
            <w:noWrap w:val="0"/>
            <w:vAlign w:val="center"/>
          </w:tcPr>
          <w:p w14:paraId="408080D2">
            <w:pPr>
              <w:rPr>
                <w:rFonts w:hint="eastAsia" w:ascii="仿宋" w:hAnsi="仿宋" w:eastAsia="仿宋" w:cs="仿宋"/>
                <w:sz w:val="24"/>
              </w:rPr>
            </w:pPr>
            <w:r>
              <w:rPr>
                <w:rFonts w:hint="eastAsia" w:ascii="仿宋" w:hAnsi="仿宋" w:eastAsia="仿宋" w:cs="仿宋"/>
                <w:sz w:val="24"/>
              </w:rPr>
              <w:t>除拇趾外，每缺失一趾</w:t>
            </w:r>
          </w:p>
        </w:tc>
        <w:tc>
          <w:tcPr>
            <w:tcW w:w="1277" w:type="dxa"/>
            <w:noWrap w:val="0"/>
            <w:vAlign w:val="center"/>
          </w:tcPr>
          <w:p w14:paraId="0AA804B1">
            <w:pPr>
              <w:jc w:val="center"/>
              <w:rPr>
                <w:rFonts w:hint="eastAsia" w:ascii="仿宋" w:hAnsi="仿宋" w:eastAsia="仿宋" w:cs="仿宋"/>
                <w:sz w:val="24"/>
              </w:rPr>
            </w:pPr>
            <w:r>
              <w:rPr>
                <w:rFonts w:hint="eastAsia" w:ascii="仿宋" w:hAnsi="仿宋" w:eastAsia="仿宋" w:cs="仿宋"/>
                <w:sz w:val="24"/>
              </w:rPr>
              <w:t>3%</w:t>
            </w:r>
          </w:p>
        </w:tc>
        <w:tc>
          <w:tcPr>
            <w:tcW w:w="1979" w:type="dxa"/>
            <w:gridSpan w:val="3"/>
            <w:vMerge w:val="continue"/>
            <w:noWrap w:val="0"/>
            <w:vAlign w:val="center"/>
          </w:tcPr>
          <w:p w14:paraId="181B185D">
            <w:pPr>
              <w:jc w:val="center"/>
              <w:rPr>
                <w:rFonts w:hint="eastAsia" w:ascii="仿宋" w:hAnsi="仿宋" w:eastAsia="仿宋" w:cs="仿宋"/>
                <w:sz w:val="24"/>
              </w:rPr>
            </w:pPr>
          </w:p>
        </w:tc>
      </w:tr>
      <w:tr w14:paraId="56164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68" w:type="dxa"/>
            <w:vMerge w:val="continue"/>
            <w:noWrap w:val="0"/>
            <w:vAlign w:val="center"/>
          </w:tcPr>
          <w:p w14:paraId="7875DDC8">
            <w:pPr>
              <w:jc w:val="center"/>
              <w:rPr>
                <w:rFonts w:hint="eastAsia" w:ascii="仿宋" w:hAnsi="仿宋" w:eastAsia="仿宋" w:cs="仿宋"/>
                <w:sz w:val="24"/>
              </w:rPr>
            </w:pPr>
          </w:p>
        </w:tc>
        <w:tc>
          <w:tcPr>
            <w:tcW w:w="669" w:type="dxa"/>
            <w:vMerge w:val="continue"/>
            <w:noWrap w:val="0"/>
            <w:vAlign w:val="center"/>
          </w:tcPr>
          <w:p w14:paraId="22989C2D">
            <w:pPr>
              <w:jc w:val="center"/>
              <w:rPr>
                <w:rFonts w:hint="eastAsia" w:ascii="仿宋" w:hAnsi="仿宋" w:eastAsia="仿宋" w:cs="仿宋"/>
                <w:sz w:val="24"/>
              </w:rPr>
            </w:pPr>
          </w:p>
        </w:tc>
        <w:tc>
          <w:tcPr>
            <w:tcW w:w="4867" w:type="dxa"/>
            <w:gridSpan w:val="3"/>
            <w:noWrap w:val="0"/>
            <w:vAlign w:val="center"/>
          </w:tcPr>
          <w:p w14:paraId="53B50CE5">
            <w:pPr>
              <w:rPr>
                <w:rFonts w:hint="eastAsia" w:ascii="仿宋" w:hAnsi="仿宋" w:eastAsia="仿宋" w:cs="仿宋"/>
                <w:sz w:val="24"/>
              </w:rPr>
            </w:pPr>
            <w:r>
              <w:rPr>
                <w:rFonts w:hint="eastAsia" w:ascii="仿宋" w:hAnsi="仿宋" w:eastAsia="仿宋" w:cs="仿宋"/>
                <w:sz w:val="24"/>
              </w:rPr>
              <w:t>一趾骨折</w:t>
            </w:r>
          </w:p>
        </w:tc>
        <w:tc>
          <w:tcPr>
            <w:tcW w:w="1277" w:type="dxa"/>
            <w:noWrap w:val="0"/>
            <w:vAlign w:val="center"/>
          </w:tcPr>
          <w:p w14:paraId="54DB5E37">
            <w:pPr>
              <w:jc w:val="center"/>
              <w:rPr>
                <w:rFonts w:hint="eastAsia" w:ascii="仿宋" w:hAnsi="仿宋" w:eastAsia="仿宋" w:cs="仿宋"/>
                <w:sz w:val="24"/>
              </w:rPr>
            </w:pPr>
            <w:r>
              <w:rPr>
                <w:rFonts w:hint="eastAsia" w:ascii="仿宋" w:hAnsi="仿宋" w:eastAsia="仿宋" w:cs="仿宋"/>
                <w:sz w:val="24"/>
              </w:rPr>
              <w:t>0.5%</w:t>
            </w:r>
          </w:p>
        </w:tc>
        <w:tc>
          <w:tcPr>
            <w:tcW w:w="1979" w:type="dxa"/>
            <w:gridSpan w:val="3"/>
            <w:vMerge w:val="continue"/>
            <w:noWrap w:val="0"/>
            <w:vAlign w:val="center"/>
          </w:tcPr>
          <w:p w14:paraId="2DB97DC5">
            <w:pPr>
              <w:jc w:val="center"/>
              <w:rPr>
                <w:rFonts w:hint="eastAsia" w:ascii="仿宋" w:hAnsi="仿宋" w:eastAsia="仿宋" w:cs="仿宋"/>
                <w:sz w:val="24"/>
              </w:rPr>
            </w:pPr>
          </w:p>
        </w:tc>
      </w:tr>
      <w:tr w14:paraId="77D1F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restart"/>
            <w:noWrap w:val="0"/>
            <w:vAlign w:val="center"/>
          </w:tcPr>
          <w:p w14:paraId="560BAB27">
            <w:pPr>
              <w:jc w:val="center"/>
              <w:rPr>
                <w:rFonts w:hint="eastAsia" w:ascii="仿宋" w:hAnsi="仿宋" w:eastAsia="仿宋" w:cs="仿宋"/>
                <w:sz w:val="24"/>
              </w:rPr>
            </w:pPr>
            <w:r>
              <w:rPr>
                <w:rFonts w:hint="eastAsia" w:ascii="仿宋" w:hAnsi="仿宋" w:eastAsia="仿宋" w:cs="仿宋"/>
                <w:sz w:val="24"/>
              </w:rPr>
              <w:t>躯</w:t>
            </w:r>
          </w:p>
          <w:p w14:paraId="4B1B5B5F">
            <w:pPr>
              <w:jc w:val="center"/>
              <w:rPr>
                <w:rFonts w:hint="eastAsia" w:ascii="仿宋" w:hAnsi="仿宋" w:eastAsia="仿宋" w:cs="仿宋"/>
                <w:sz w:val="24"/>
              </w:rPr>
            </w:pPr>
            <w:r>
              <w:rPr>
                <w:rFonts w:hint="eastAsia" w:ascii="仿宋" w:hAnsi="仿宋" w:eastAsia="仿宋" w:cs="仿宋"/>
                <w:sz w:val="24"/>
              </w:rPr>
              <w:t>干</w:t>
            </w:r>
          </w:p>
        </w:tc>
        <w:tc>
          <w:tcPr>
            <w:tcW w:w="4867" w:type="dxa"/>
            <w:gridSpan w:val="3"/>
            <w:noWrap w:val="0"/>
            <w:vAlign w:val="center"/>
          </w:tcPr>
          <w:p w14:paraId="19068216">
            <w:pPr>
              <w:rPr>
                <w:rFonts w:hint="eastAsia" w:ascii="仿宋" w:hAnsi="仿宋" w:eastAsia="仿宋" w:cs="仿宋"/>
                <w:sz w:val="24"/>
              </w:rPr>
            </w:pPr>
            <w:r>
              <w:rPr>
                <w:rFonts w:hint="eastAsia" w:ascii="仿宋" w:hAnsi="仿宋" w:eastAsia="仿宋" w:cs="仿宋"/>
                <w:sz w:val="24"/>
              </w:rPr>
              <w:t>单根肋骨骨折</w:t>
            </w:r>
          </w:p>
        </w:tc>
        <w:tc>
          <w:tcPr>
            <w:tcW w:w="1277" w:type="dxa"/>
            <w:noWrap w:val="0"/>
            <w:vAlign w:val="center"/>
          </w:tcPr>
          <w:p w14:paraId="3FEFCA22">
            <w:pPr>
              <w:jc w:val="center"/>
              <w:rPr>
                <w:rFonts w:hint="eastAsia" w:ascii="仿宋" w:hAnsi="仿宋" w:eastAsia="仿宋" w:cs="仿宋"/>
                <w:sz w:val="24"/>
              </w:rPr>
            </w:pPr>
            <w:r>
              <w:rPr>
                <w:rFonts w:hint="eastAsia" w:ascii="仿宋" w:hAnsi="仿宋" w:eastAsia="仿宋" w:cs="仿宋"/>
                <w:sz w:val="24"/>
              </w:rPr>
              <w:t>3%</w:t>
            </w:r>
          </w:p>
        </w:tc>
        <w:tc>
          <w:tcPr>
            <w:tcW w:w="1979" w:type="dxa"/>
            <w:gridSpan w:val="3"/>
            <w:noWrap w:val="0"/>
            <w:vAlign w:val="center"/>
          </w:tcPr>
          <w:p w14:paraId="11971421">
            <w:pPr>
              <w:jc w:val="center"/>
              <w:rPr>
                <w:rFonts w:hint="eastAsia" w:ascii="仿宋" w:hAnsi="仿宋" w:eastAsia="仿宋" w:cs="仿宋"/>
                <w:sz w:val="24"/>
              </w:rPr>
            </w:pPr>
          </w:p>
        </w:tc>
      </w:tr>
      <w:tr w14:paraId="3FBB1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continue"/>
            <w:tcBorders>
              <w:top w:val="nil"/>
            </w:tcBorders>
            <w:noWrap w:val="0"/>
            <w:vAlign w:val="center"/>
          </w:tcPr>
          <w:p w14:paraId="16BC5434">
            <w:pPr>
              <w:jc w:val="center"/>
              <w:rPr>
                <w:rFonts w:hint="eastAsia" w:ascii="仿宋" w:hAnsi="仿宋" w:eastAsia="仿宋" w:cs="仿宋"/>
                <w:sz w:val="24"/>
              </w:rPr>
            </w:pPr>
          </w:p>
        </w:tc>
        <w:tc>
          <w:tcPr>
            <w:tcW w:w="4867" w:type="dxa"/>
            <w:gridSpan w:val="3"/>
            <w:noWrap w:val="0"/>
            <w:vAlign w:val="center"/>
          </w:tcPr>
          <w:p w14:paraId="1CF844DB">
            <w:pPr>
              <w:rPr>
                <w:rFonts w:hint="eastAsia" w:ascii="仿宋" w:hAnsi="仿宋" w:eastAsia="仿宋" w:cs="仿宋"/>
                <w:sz w:val="24"/>
              </w:rPr>
            </w:pPr>
            <w:r>
              <w:rPr>
                <w:rFonts w:hint="eastAsia" w:ascii="仿宋" w:hAnsi="仿宋" w:eastAsia="仿宋" w:cs="仿宋"/>
                <w:sz w:val="24"/>
              </w:rPr>
              <w:t>多根肋骨骨折</w:t>
            </w:r>
          </w:p>
        </w:tc>
        <w:tc>
          <w:tcPr>
            <w:tcW w:w="1277" w:type="dxa"/>
            <w:noWrap w:val="0"/>
            <w:vAlign w:val="center"/>
          </w:tcPr>
          <w:p w14:paraId="3DAF0488">
            <w:pPr>
              <w:jc w:val="center"/>
              <w:rPr>
                <w:rFonts w:hint="eastAsia" w:ascii="仿宋" w:hAnsi="仿宋" w:eastAsia="仿宋" w:cs="仿宋"/>
                <w:sz w:val="24"/>
              </w:rPr>
            </w:pPr>
            <w:r>
              <w:rPr>
                <w:rFonts w:hint="eastAsia" w:ascii="仿宋" w:hAnsi="仿宋" w:eastAsia="仿宋" w:cs="仿宋"/>
                <w:sz w:val="24"/>
              </w:rPr>
              <w:t>6％</w:t>
            </w:r>
          </w:p>
        </w:tc>
        <w:tc>
          <w:tcPr>
            <w:tcW w:w="1979" w:type="dxa"/>
            <w:gridSpan w:val="3"/>
            <w:noWrap w:val="0"/>
            <w:vAlign w:val="center"/>
          </w:tcPr>
          <w:p w14:paraId="6FCE8E23">
            <w:pPr>
              <w:jc w:val="center"/>
              <w:rPr>
                <w:rFonts w:hint="eastAsia" w:ascii="仿宋" w:hAnsi="仿宋" w:eastAsia="仿宋" w:cs="仿宋"/>
                <w:sz w:val="24"/>
              </w:rPr>
            </w:pPr>
          </w:p>
        </w:tc>
      </w:tr>
      <w:tr w14:paraId="655B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continue"/>
            <w:tcBorders>
              <w:top w:val="nil"/>
            </w:tcBorders>
            <w:noWrap w:val="0"/>
            <w:vAlign w:val="center"/>
          </w:tcPr>
          <w:p w14:paraId="3EBF8606">
            <w:pPr>
              <w:jc w:val="center"/>
              <w:rPr>
                <w:rFonts w:hint="eastAsia" w:ascii="仿宋" w:hAnsi="仿宋" w:eastAsia="仿宋" w:cs="仿宋"/>
                <w:sz w:val="24"/>
              </w:rPr>
            </w:pPr>
          </w:p>
        </w:tc>
        <w:tc>
          <w:tcPr>
            <w:tcW w:w="4867" w:type="dxa"/>
            <w:gridSpan w:val="3"/>
            <w:noWrap w:val="0"/>
            <w:vAlign w:val="center"/>
          </w:tcPr>
          <w:p w14:paraId="435FEF20">
            <w:pPr>
              <w:rPr>
                <w:rFonts w:hint="eastAsia" w:ascii="仿宋" w:hAnsi="仿宋" w:eastAsia="仿宋" w:cs="仿宋"/>
                <w:sz w:val="24"/>
              </w:rPr>
            </w:pPr>
            <w:r>
              <w:rPr>
                <w:rFonts w:hint="eastAsia" w:ascii="仿宋" w:hAnsi="仿宋" w:eastAsia="仿宋" w:cs="仿宋"/>
                <w:sz w:val="24"/>
              </w:rPr>
              <w:t>多根肋骨骨折,伴血、气胸、积液</w:t>
            </w:r>
          </w:p>
        </w:tc>
        <w:tc>
          <w:tcPr>
            <w:tcW w:w="1277" w:type="dxa"/>
            <w:noWrap w:val="0"/>
            <w:vAlign w:val="center"/>
          </w:tcPr>
          <w:p w14:paraId="27832DBA">
            <w:pPr>
              <w:jc w:val="center"/>
              <w:rPr>
                <w:rFonts w:hint="eastAsia" w:ascii="仿宋" w:hAnsi="仿宋" w:eastAsia="仿宋" w:cs="仿宋"/>
                <w:sz w:val="24"/>
              </w:rPr>
            </w:pPr>
            <w:r>
              <w:rPr>
                <w:rFonts w:hint="eastAsia" w:ascii="仿宋" w:hAnsi="仿宋" w:eastAsia="仿宋" w:cs="仿宋"/>
                <w:sz w:val="24"/>
              </w:rPr>
              <w:t>15%</w:t>
            </w:r>
          </w:p>
        </w:tc>
        <w:tc>
          <w:tcPr>
            <w:tcW w:w="1979" w:type="dxa"/>
            <w:gridSpan w:val="3"/>
            <w:noWrap w:val="0"/>
            <w:vAlign w:val="center"/>
          </w:tcPr>
          <w:p w14:paraId="726B4794">
            <w:pPr>
              <w:jc w:val="center"/>
              <w:rPr>
                <w:rFonts w:hint="eastAsia" w:ascii="仿宋" w:hAnsi="仿宋" w:eastAsia="仿宋" w:cs="仿宋"/>
                <w:sz w:val="24"/>
              </w:rPr>
            </w:pPr>
          </w:p>
        </w:tc>
      </w:tr>
      <w:tr w14:paraId="07EE8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continue"/>
            <w:tcBorders>
              <w:top w:val="nil"/>
            </w:tcBorders>
            <w:noWrap w:val="0"/>
            <w:vAlign w:val="center"/>
          </w:tcPr>
          <w:p w14:paraId="3F47635F">
            <w:pPr>
              <w:jc w:val="center"/>
              <w:rPr>
                <w:rFonts w:hint="eastAsia" w:ascii="仿宋" w:hAnsi="仿宋" w:eastAsia="仿宋" w:cs="仿宋"/>
                <w:sz w:val="24"/>
              </w:rPr>
            </w:pPr>
          </w:p>
        </w:tc>
        <w:tc>
          <w:tcPr>
            <w:tcW w:w="4867" w:type="dxa"/>
            <w:gridSpan w:val="3"/>
            <w:noWrap w:val="0"/>
            <w:vAlign w:val="center"/>
          </w:tcPr>
          <w:p w14:paraId="27091909">
            <w:pPr>
              <w:rPr>
                <w:rFonts w:hint="eastAsia" w:ascii="仿宋" w:hAnsi="仿宋" w:eastAsia="仿宋" w:cs="仿宋"/>
                <w:sz w:val="24"/>
              </w:rPr>
            </w:pPr>
            <w:r>
              <w:rPr>
                <w:rFonts w:hint="eastAsia" w:ascii="仿宋" w:hAnsi="仿宋" w:eastAsia="仿宋" w:cs="仿宋"/>
                <w:sz w:val="24"/>
              </w:rPr>
              <w:t>胸骨、骨盆骨折</w:t>
            </w:r>
          </w:p>
        </w:tc>
        <w:tc>
          <w:tcPr>
            <w:tcW w:w="1277" w:type="dxa"/>
            <w:noWrap w:val="0"/>
            <w:vAlign w:val="center"/>
          </w:tcPr>
          <w:p w14:paraId="764B07D2">
            <w:pPr>
              <w:jc w:val="center"/>
              <w:rPr>
                <w:rFonts w:hint="eastAsia" w:ascii="仿宋" w:hAnsi="仿宋" w:eastAsia="仿宋" w:cs="仿宋"/>
                <w:sz w:val="24"/>
              </w:rPr>
            </w:pPr>
            <w:r>
              <w:rPr>
                <w:rFonts w:hint="eastAsia" w:ascii="仿宋" w:hAnsi="仿宋" w:eastAsia="仿宋" w:cs="仿宋"/>
                <w:sz w:val="24"/>
              </w:rPr>
              <w:t>5%</w:t>
            </w:r>
          </w:p>
        </w:tc>
        <w:tc>
          <w:tcPr>
            <w:tcW w:w="1979" w:type="dxa"/>
            <w:gridSpan w:val="3"/>
            <w:noWrap w:val="0"/>
            <w:vAlign w:val="center"/>
          </w:tcPr>
          <w:p w14:paraId="3565AA04">
            <w:pPr>
              <w:jc w:val="center"/>
              <w:rPr>
                <w:rFonts w:hint="eastAsia" w:ascii="仿宋" w:hAnsi="仿宋" w:eastAsia="仿宋" w:cs="仿宋"/>
                <w:sz w:val="24"/>
              </w:rPr>
            </w:pPr>
          </w:p>
        </w:tc>
      </w:tr>
      <w:tr w14:paraId="58340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continue"/>
            <w:tcBorders>
              <w:top w:val="nil"/>
            </w:tcBorders>
            <w:noWrap w:val="0"/>
            <w:vAlign w:val="center"/>
          </w:tcPr>
          <w:p w14:paraId="589F9FE0">
            <w:pPr>
              <w:jc w:val="center"/>
              <w:rPr>
                <w:rFonts w:hint="eastAsia" w:ascii="仿宋" w:hAnsi="仿宋" w:eastAsia="仿宋" w:cs="仿宋"/>
                <w:sz w:val="24"/>
              </w:rPr>
            </w:pPr>
          </w:p>
        </w:tc>
        <w:tc>
          <w:tcPr>
            <w:tcW w:w="4867" w:type="dxa"/>
            <w:gridSpan w:val="3"/>
            <w:noWrap w:val="0"/>
            <w:vAlign w:val="center"/>
          </w:tcPr>
          <w:p w14:paraId="4C5C22F9">
            <w:pPr>
              <w:rPr>
                <w:rFonts w:hint="eastAsia" w:ascii="仿宋" w:hAnsi="仿宋" w:eastAsia="仿宋" w:cs="仿宋"/>
                <w:sz w:val="24"/>
              </w:rPr>
            </w:pPr>
            <w:r>
              <w:rPr>
                <w:rFonts w:hint="eastAsia" w:ascii="仿宋" w:hAnsi="仿宋" w:eastAsia="仿宋" w:cs="仿宋"/>
                <w:sz w:val="24"/>
              </w:rPr>
              <w:t>胸骨骨折,伴血、气胸</w:t>
            </w:r>
          </w:p>
        </w:tc>
        <w:tc>
          <w:tcPr>
            <w:tcW w:w="1277" w:type="dxa"/>
            <w:noWrap w:val="0"/>
            <w:vAlign w:val="center"/>
          </w:tcPr>
          <w:p w14:paraId="410D7A1C">
            <w:pPr>
              <w:jc w:val="center"/>
              <w:rPr>
                <w:rFonts w:hint="eastAsia" w:ascii="仿宋" w:hAnsi="仿宋" w:eastAsia="仿宋" w:cs="仿宋"/>
                <w:sz w:val="24"/>
              </w:rPr>
            </w:pPr>
            <w:r>
              <w:rPr>
                <w:rFonts w:hint="eastAsia" w:ascii="仿宋" w:hAnsi="仿宋" w:eastAsia="仿宋" w:cs="仿宋"/>
                <w:sz w:val="24"/>
              </w:rPr>
              <w:t>15%</w:t>
            </w:r>
          </w:p>
        </w:tc>
        <w:tc>
          <w:tcPr>
            <w:tcW w:w="1979" w:type="dxa"/>
            <w:gridSpan w:val="3"/>
            <w:noWrap w:val="0"/>
            <w:vAlign w:val="center"/>
          </w:tcPr>
          <w:p w14:paraId="11876EFA">
            <w:pPr>
              <w:jc w:val="center"/>
              <w:rPr>
                <w:rFonts w:hint="eastAsia" w:ascii="仿宋" w:hAnsi="仿宋" w:eastAsia="仿宋" w:cs="仿宋"/>
                <w:sz w:val="24"/>
              </w:rPr>
            </w:pPr>
          </w:p>
        </w:tc>
      </w:tr>
      <w:tr w14:paraId="2E997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7" w:type="dxa"/>
            <w:gridSpan w:val="2"/>
            <w:vMerge w:val="continue"/>
            <w:tcBorders>
              <w:top w:val="nil"/>
            </w:tcBorders>
            <w:noWrap w:val="0"/>
            <w:vAlign w:val="center"/>
          </w:tcPr>
          <w:p w14:paraId="2CB55371">
            <w:pPr>
              <w:jc w:val="center"/>
              <w:rPr>
                <w:rFonts w:hint="eastAsia" w:ascii="仿宋" w:hAnsi="仿宋" w:eastAsia="仿宋" w:cs="仿宋"/>
                <w:sz w:val="24"/>
              </w:rPr>
            </w:pPr>
          </w:p>
        </w:tc>
        <w:tc>
          <w:tcPr>
            <w:tcW w:w="4867" w:type="dxa"/>
            <w:gridSpan w:val="3"/>
            <w:noWrap w:val="0"/>
            <w:vAlign w:val="center"/>
          </w:tcPr>
          <w:p w14:paraId="641BF23F">
            <w:pPr>
              <w:rPr>
                <w:rFonts w:hint="eastAsia" w:ascii="仿宋" w:hAnsi="仿宋" w:eastAsia="仿宋" w:cs="仿宋"/>
                <w:sz w:val="24"/>
              </w:rPr>
            </w:pPr>
            <w:r>
              <w:rPr>
                <w:rFonts w:hint="eastAsia" w:ascii="仿宋" w:hAnsi="仿宋" w:eastAsia="仿宋" w:cs="仿宋"/>
                <w:sz w:val="24"/>
              </w:rPr>
              <w:t>颈椎、胸椎、腰椎骨折</w:t>
            </w:r>
          </w:p>
        </w:tc>
        <w:tc>
          <w:tcPr>
            <w:tcW w:w="1277" w:type="dxa"/>
            <w:noWrap w:val="0"/>
            <w:vAlign w:val="center"/>
          </w:tcPr>
          <w:p w14:paraId="29CCF5CC">
            <w:pPr>
              <w:jc w:val="center"/>
              <w:rPr>
                <w:rFonts w:hint="eastAsia" w:ascii="仿宋" w:hAnsi="仿宋" w:eastAsia="仿宋" w:cs="仿宋"/>
                <w:sz w:val="24"/>
              </w:rPr>
            </w:pPr>
            <w:r>
              <w:rPr>
                <w:rFonts w:hint="eastAsia" w:ascii="仿宋" w:hAnsi="仿宋" w:eastAsia="仿宋" w:cs="仿宋"/>
                <w:sz w:val="24"/>
              </w:rPr>
              <w:t>10%</w:t>
            </w:r>
          </w:p>
        </w:tc>
        <w:tc>
          <w:tcPr>
            <w:tcW w:w="1979" w:type="dxa"/>
            <w:gridSpan w:val="3"/>
            <w:noWrap w:val="0"/>
            <w:vAlign w:val="center"/>
          </w:tcPr>
          <w:p w14:paraId="077E57E3">
            <w:pPr>
              <w:jc w:val="center"/>
              <w:rPr>
                <w:rFonts w:hint="eastAsia" w:ascii="仿宋" w:hAnsi="仿宋" w:eastAsia="仿宋" w:cs="仿宋"/>
                <w:sz w:val="24"/>
              </w:rPr>
            </w:pPr>
          </w:p>
        </w:tc>
      </w:tr>
      <w:tr w14:paraId="76D561F2">
        <w:tblPrEx>
          <w:tblCellMar>
            <w:top w:w="0" w:type="dxa"/>
            <w:left w:w="108" w:type="dxa"/>
            <w:bottom w:w="0" w:type="dxa"/>
            <w:right w:w="108" w:type="dxa"/>
          </w:tblCellMar>
        </w:tblPrEx>
        <w:trPr>
          <w:trHeight w:val="454" w:hRule="atLeast"/>
          <w:jc w:val="center"/>
        </w:trPr>
        <w:tc>
          <w:tcPr>
            <w:tcW w:w="1237" w:type="dxa"/>
            <w:gridSpan w:val="2"/>
            <w:vMerge w:val="continue"/>
            <w:tcBorders>
              <w:top w:val="nil"/>
            </w:tcBorders>
            <w:noWrap w:val="0"/>
            <w:vAlign w:val="center"/>
          </w:tcPr>
          <w:p w14:paraId="45FE9E92">
            <w:pPr>
              <w:jc w:val="center"/>
              <w:rPr>
                <w:rFonts w:hint="eastAsia" w:ascii="仿宋" w:hAnsi="仿宋" w:eastAsia="仿宋" w:cs="仿宋"/>
                <w:sz w:val="24"/>
              </w:rPr>
            </w:pPr>
          </w:p>
        </w:tc>
        <w:tc>
          <w:tcPr>
            <w:tcW w:w="4867" w:type="dxa"/>
            <w:gridSpan w:val="3"/>
            <w:noWrap w:val="0"/>
            <w:vAlign w:val="center"/>
          </w:tcPr>
          <w:p w14:paraId="79E0B6CA">
            <w:pPr>
              <w:rPr>
                <w:rFonts w:hint="eastAsia" w:ascii="仿宋" w:hAnsi="仿宋" w:eastAsia="仿宋" w:cs="仿宋"/>
                <w:sz w:val="24"/>
              </w:rPr>
            </w:pPr>
            <w:r>
              <w:rPr>
                <w:rFonts w:hint="eastAsia" w:ascii="仿宋" w:hAnsi="仿宋" w:eastAsia="仿宋" w:cs="仿宋"/>
                <w:sz w:val="24"/>
              </w:rPr>
              <w:t>胸、脊椎压缩性骨折</w:t>
            </w:r>
          </w:p>
        </w:tc>
        <w:tc>
          <w:tcPr>
            <w:tcW w:w="1277" w:type="dxa"/>
            <w:noWrap w:val="0"/>
            <w:vAlign w:val="center"/>
          </w:tcPr>
          <w:p w14:paraId="0087DBDF">
            <w:pPr>
              <w:jc w:val="center"/>
              <w:rPr>
                <w:rFonts w:hint="eastAsia" w:ascii="仿宋" w:hAnsi="仿宋" w:eastAsia="仿宋" w:cs="仿宋"/>
                <w:sz w:val="24"/>
              </w:rPr>
            </w:pPr>
            <w:r>
              <w:rPr>
                <w:rFonts w:hint="eastAsia" w:ascii="仿宋" w:hAnsi="仿宋" w:eastAsia="仿宋" w:cs="仿宋"/>
                <w:sz w:val="24"/>
              </w:rPr>
              <w:t>15%</w:t>
            </w:r>
          </w:p>
        </w:tc>
        <w:tc>
          <w:tcPr>
            <w:tcW w:w="1979" w:type="dxa"/>
            <w:gridSpan w:val="3"/>
            <w:noWrap w:val="0"/>
            <w:vAlign w:val="center"/>
          </w:tcPr>
          <w:p w14:paraId="5720BB85">
            <w:pPr>
              <w:jc w:val="center"/>
              <w:rPr>
                <w:rFonts w:hint="eastAsia" w:ascii="仿宋" w:hAnsi="仿宋" w:eastAsia="仿宋" w:cs="仿宋"/>
                <w:sz w:val="24"/>
              </w:rPr>
            </w:pPr>
          </w:p>
        </w:tc>
      </w:tr>
      <w:tr w14:paraId="43145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noWrap w:val="0"/>
            <w:vAlign w:val="center"/>
          </w:tcPr>
          <w:p w14:paraId="2A40D469">
            <w:pPr>
              <w:jc w:val="center"/>
              <w:rPr>
                <w:rFonts w:hint="eastAsia" w:ascii="仿宋" w:hAnsi="仿宋" w:eastAsia="仿宋" w:cs="仿宋"/>
                <w:sz w:val="24"/>
              </w:rPr>
            </w:pPr>
            <w:r>
              <w:rPr>
                <w:rFonts w:hint="eastAsia" w:ascii="仿宋" w:hAnsi="仿宋" w:eastAsia="仿宋" w:cs="仿宋"/>
                <w:sz w:val="24"/>
              </w:rPr>
              <w:t>伤残部位</w:t>
            </w:r>
          </w:p>
        </w:tc>
        <w:tc>
          <w:tcPr>
            <w:tcW w:w="4670" w:type="dxa"/>
            <w:noWrap w:val="0"/>
            <w:vAlign w:val="center"/>
          </w:tcPr>
          <w:p w14:paraId="19A9588E">
            <w:pPr>
              <w:jc w:val="center"/>
              <w:rPr>
                <w:rFonts w:hint="eastAsia" w:ascii="仿宋" w:hAnsi="仿宋" w:eastAsia="仿宋" w:cs="仿宋"/>
                <w:sz w:val="24"/>
              </w:rPr>
            </w:pPr>
            <w:r>
              <w:rPr>
                <w:rFonts w:hint="eastAsia" w:ascii="仿宋" w:hAnsi="仿宋" w:eastAsia="仿宋" w:cs="仿宋"/>
                <w:sz w:val="24"/>
              </w:rPr>
              <w:t>伤残程度</w:t>
            </w:r>
          </w:p>
        </w:tc>
        <w:tc>
          <w:tcPr>
            <w:tcW w:w="1610" w:type="dxa"/>
            <w:gridSpan w:val="3"/>
            <w:noWrap w:val="0"/>
            <w:vAlign w:val="center"/>
          </w:tcPr>
          <w:p w14:paraId="015678E2">
            <w:pPr>
              <w:jc w:val="center"/>
              <w:rPr>
                <w:rFonts w:hint="eastAsia" w:ascii="仿宋" w:hAnsi="仿宋" w:eastAsia="仿宋" w:cs="仿宋"/>
                <w:sz w:val="24"/>
              </w:rPr>
            </w:pPr>
            <w:r>
              <w:rPr>
                <w:rFonts w:hint="eastAsia" w:ascii="仿宋" w:hAnsi="仿宋" w:eastAsia="仿宋" w:cs="仿宋"/>
                <w:sz w:val="24"/>
              </w:rPr>
              <w:t>赔付比例</w:t>
            </w:r>
          </w:p>
        </w:tc>
        <w:tc>
          <w:tcPr>
            <w:tcW w:w="1748" w:type="dxa"/>
            <w:noWrap w:val="0"/>
            <w:vAlign w:val="center"/>
          </w:tcPr>
          <w:p w14:paraId="75EF3ED7">
            <w:pPr>
              <w:jc w:val="center"/>
              <w:rPr>
                <w:rFonts w:hint="eastAsia" w:ascii="仿宋" w:hAnsi="仿宋" w:eastAsia="仿宋" w:cs="仿宋"/>
                <w:sz w:val="24"/>
              </w:rPr>
            </w:pPr>
            <w:r>
              <w:rPr>
                <w:rFonts w:hint="eastAsia" w:ascii="仿宋" w:hAnsi="仿宋" w:eastAsia="仿宋" w:cs="仿宋"/>
                <w:sz w:val="24"/>
              </w:rPr>
              <w:t>备   注</w:t>
            </w:r>
          </w:p>
        </w:tc>
      </w:tr>
      <w:tr w14:paraId="3A475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vMerge w:val="restart"/>
            <w:noWrap w:val="0"/>
            <w:vAlign w:val="center"/>
          </w:tcPr>
          <w:p w14:paraId="45A4F5F3">
            <w:pPr>
              <w:jc w:val="center"/>
              <w:rPr>
                <w:rFonts w:hint="eastAsia" w:ascii="仿宋" w:hAnsi="仿宋" w:eastAsia="仿宋" w:cs="仿宋"/>
                <w:sz w:val="24"/>
              </w:rPr>
            </w:pPr>
            <w:r>
              <w:rPr>
                <w:rFonts w:hint="eastAsia" w:ascii="仿宋" w:hAnsi="仿宋" w:eastAsia="仿宋" w:cs="仿宋"/>
                <w:sz w:val="24"/>
              </w:rPr>
              <w:t>面</w:t>
            </w:r>
          </w:p>
          <w:p w14:paraId="2270EB5C">
            <w:pPr>
              <w:jc w:val="center"/>
              <w:rPr>
                <w:rFonts w:hint="eastAsia" w:ascii="仿宋" w:hAnsi="仿宋" w:eastAsia="仿宋" w:cs="仿宋"/>
                <w:sz w:val="24"/>
              </w:rPr>
            </w:pPr>
            <w:r>
              <w:rPr>
                <w:rFonts w:hint="eastAsia" w:ascii="仿宋" w:hAnsi="仿宋" w:eastAsia="仿宋" w:cs="仿宋"/>
                <w:sz w:val="24"/>
              </w:rPr>
              <w:t>部</w:t>
            </w:r>
          </w:p>
        </w:tc>
        <w:tc>
          <w:tcPr>
            <w:tcW w:w="4670" w:type="dxa"/>
            <w:noWrap w:val="0"/>
            <w:vAlign w:val="center"/>
          </w:tcPr>
          <w:p w14:paraId="1EEF6CBE">
            <w:pPr>
              <w:rPr>
                <w:rFonts w:hint="eastAsia" w:ascii="仿宋" w:hAnsi="仿宋" w:eastAsia="仿宋" w:cs="仿宋"/>
                <w:sz w:val="24"/>
              </w:rPr>
            </w:pPr>
            <w:r>
              <w:rPr>
                <w:rFonts w:hint="eastAsia" w:ascii="仿宋" w:hAnsi="仿宋" w:eastAsia="仿宋" w:cs="仿宋"/>
                <w:sz w:val="24"/>
              </w:rPr>
              <w:t>一耳鼓膜外伤性全部缺损或听力丧失</w:t>
            </w:r>
          </w:p>
        </w:tc>
        <w:tc>
          <w:tcPr>
            <w:tcW w:w="1610" w:type="dxa"/>
            <w:gridSpan w:val="3"/>
            <w:noWrap w:val="0"/>
            <w:vAlign w:val="center"/>
          </w:tcPr>
          <w:p w14:paraId="5BAFFA35">
            <w:pPr>
              <w:jc w:val="center"/>
              <w:rPr>
                <w:rFonts w:hint="eastAsia" w:ascii="仿宋" w:hAnsi="仿宋" w:eastAsia="仿宋" w:cs="仿宋"/>
                <w:sz w:val="24"/>
              </w:rPr>
            </w:pPr>
            <w:r>
              <w:rPr>
                <w:rFonts w:hint="eastAsia" w:ascii="仿宋" w:hAnsi="仿宋" w:eastAsia="仿宋" w:cs="仿宋"/>
                <w:sz w:val="24"/>
              </w:rPr>
              <w:t>20%</w:t>
            </w:r>
          </w:p>
        </w:tc>
        <w:tc>
          <w:tcPr>
            <w:tcW w:w="1748" w:type="dxa"/>
            <w:noWrap w:val="0"/>
            <w:vAlign w:val="center"/>
          </w:tcPr>
          <w:p w14:paraId="2BA5432C">
            <w:pPr>
              <w:jc w:val="center"/>
              <w:rPr>
                <w:rFonts w:hint="eastAsia" w:ascii="仿宋" w:hAnsi="仿宋" w:eastAsia="仿宋" w:cs="仿宋"/>
                <w:sz w:val="24"/>
              </w:rPr>
            </w:pPr>
          </w:p>
        </w:tc>
      </w:tr>
      <w:tr w14:paraId="0B041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vMerge w:val="continue"/>
            <w:noWrap w:val="0"/>
            <w:vAlign w:val="center"/>
          </w:tcPr>
          <w:p w14:paraId="14421585">
            <w:pPr>
              <w:jc w:val="center"/>
              <w:rPr>
                <w:rFonts w:hint="eastAsia" w:ascii="仿宋" w:hAnsi="仿宋" w:eastAsia="仿宋" w:cs="仿宋"/>
                <w:sz w:val="24"/>
              </w:rPr>
            </w:pPr>
          </w:p>
        </w:tc>
        <w:tc>
          <w:tcPr>
            <w:tcW w:w="4670" w:type="dxa"/>
            <w:noWrap w:val="0"/>
            <w:vAlign w:val="center"/>
          </w:tcPr>
          <w:p w14:paraId="0138A7A7">
            <w:pPr>
              <w:rPr>
                <w:rFonts w:hint="eastAsia" w:ascii="仿宋" w:hAnsi="仿宋" w:eastAsia="仿宋" w:cs="仿宋"/>
                <w:sz w:val="24"/>
              </w:rPr>
            </w:pPr>
            <w:r>
              <w:rPr>
                <w:rFonts w:hint="eastAsia" w:ascii="仿宋" w:hAnsi="仿宋" w:eastAsia="仿宋" w:cs="仿宋"/>
                <w:sz w:val="24"/>
              </w:rPr>
              <w:t>面骨骨折(含颌骨、颧骨、颚骨)</w:t>
            </w:r>
          </w:p>
        </w:tc>
        <w:tc>
          <w:tcPr>
            <w:tcW w:w="1610" w:type="dxa"/>
            <w:gridSpan w:val="3"/>
            <w:noWrap w:val="0"/>
            <w:vAlign w:val="center"/>
          </w:tcPr>
          <w:p w14:paraId="1DCBD911">
            <w:pPr>
              <w:jc w:val="center"/>
              <w:rPr>
                <w:rFonts w:hint="eastAsia" w:ascii="仿宋" w:hAnsi="仿宋" w:eastAsia="仿宋" w:cs="仿宋"/>
                <w:sz w:val="24"/>
              </w:rPr>
            </w:pPr>
            <w:r>
              <w:rPr>
                <w:rFonts w:hint="eastAsia" w:ascii="仿宋" w:hAnsi="仿宋" w:eastAsia="仿宋" w:cs="仿宋"/>
                <w:sz w:val="24"/>
              </w:rPr>
              <w:t>5%</w:t>
            </w:r>
          </w:p>
        </w:tc>
        <w:tc>
          <w:tcPr>
            <w:tcW w:w="1748" w:type="dxa"/>
            <w:noWrap w:val="0"/>
            <w:vAlign w:val="center"/>
          </w:tcPr>
          <w:p w14:paraId="52E26B0F">
            <w:pPr>
              <w:jc w:val="center"/>
              <w:rPr>
                <w:rFonts w:hint="eastAsia" w:ascii="仿宋" w:hAnsi="仿宋" w:eastAsia="仿宋" w:cs="仿宋"/>
                <w:sz w:val="24"/>
              </w:rPr>
            </w:pPr>
          </w:p>
        </w:tc>
      </w:tr>
      <w:tr w14:paraId="65953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vMerge w:val="continue"/>
            <w:noWrap w:val="0"/>
            <w:vAlign w:val="center"/>
          </w:tcPr>
          <w:p w14:paraId="234CC23A">
            <w:pPr>
              <w:jc w:val="center"/>
              <w:rPr>
                <w:rFonts w:hint="eastAsia" w:ascii="仿宋" w:hAnsi="仿宋" w:eastAsia="仿宋" w:cs="仿宋"/>
                <w:sz w:val="24"/>
              </w:rPr>
            </w:pPr>
          </w:p>
        </w:tc>
        <w:tc>
          <w:tcPr>
            <w:tcW w:w="4670" w:type="dxa"/>
            <w:noWrap w:val="0"/>
            <w:vAlign w:val="center"/>
          </w:tcPr>
          <w:p w14:paraId="03AE9460">
            <w:pPr>
              <w:rPr>
                <w:rFonts w:hint="eastAsia" w:ascii="仿宋" w:hAnsi="仿宋" w:eastAsia="仿宋" w:cs="仿宋"/>
                <w:sz w:val="24"/>
              </w:rPr>
            </w:pPr>
            <w:r>
              <w:rPr>
                <w:rFonts w:hint="eastAsia" w:ascii="仿宋" w:hAnsi="仿宋" w:eastAsia="仿宋" w:cs="仿宋"/>
                <w:sz w:val="24"/>
              </w:rPr>
              <w:t>鼻骨骨折</w:t>
            </w:r>
          </w:p>
        </w:tc>
        <w:tc>
          <w:tcPr>
            <w:tcW w:w="1610" w:type="dxa"/>
            <w:gridSpan w:val="3"/>
            <w:noWrap w:val="0"/>
            <w:vAlign w:val="center"/>
          </w:tcPr>
          <w:p w14:paraId="2DC5B433">
            <w:pPr>
              <w:jc w:val="center"/>
              <w:rPr>
                <w:rFonts w:hint="eastAsia" w:ascii="仿宋" w:hAnsi="仿宋" w:eastAsia="仿宋" w:cs="仿宋"/>
                <w:sz w:val="24"/>
              </w:rPr>
            </w:pPr>
            <w:r>
              <w:rPr>
                <w:rFonts w:hint="eastAsia" w:ascii="仿宋" w:hAnsi="仿宋" w:eastAsia="仿宋" w:cs="仿宋"/>
                <w:sz w:val="24"/>
              </w:rPr>
              <w:t>3%</w:t>
            </w:r>
          </w:p>
        </w:tc>
        <w:tc>
          <w:tcPr>
            <w:tcW w:w="1748" w:type="dxa"/>
            <w:noWrap w:val="0"/>
            <w:vAlign w:val="center"/>
          </w:tcPr>
          <w:p w14:paraId="19B5D07D">
            <w:pPr>
              <w:jc w:val="center"/>
              <w:rPr>
                <w:rFonts w:hint="eastAsia" w:ascii="仿宋" w:hAnsi="仿宋" w:eastAsia="仿宋" w:cs="仿宋"/>
                <w:sz w:val="24"/>
              </w:rPr>
            </w:pPr>
          </w:p>
        </w:tc>
      </w:tr>
      <w:tr w14:paraId="65D3D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vMerge w:val="continue"/>
            <w:noWrap w:val="0"/>
            <w:vAlign w:val="center"/>
          </w:tcPr>
          <w:p w14:paraId="5D93497F">
            <w:pPr>
              <w:jc w:val="center"/>
              <w:rPr>
                <w:rFonts w:hint="eastAsia" w:ascii="仿宋" w:hAnsi="仿宋" w:eastAsia="仿宋" w:cs="仿宋"/>
                <w:sz w:val="24"/>
              </w:rPr>
            </w:pPr>
          </w:p>
        </w:tc>
        <w:tc>
          <w:tcPr>
            <w:tcW w:w="4670" w:type="dxa"/>
            <w:noWrap w:val="0"/>
            <w:vAlign w:val="center"/>
          </w:tcPr>
          <w:p w14:paraId="44A2D938">
            <w:pPr>
              <w:rPr>
                <w:rFonts w:hint="eastAsia" w:ascii="仿宋" w:hAnsi="仿宋" w:eastAsia="仿宋" w:cs="仿宋"/>
                <w:sz w:val="24"/>
              </w:rPr>
            </w:pPr>
            <w:r>
              <w:rPr>
                <w:rFonts w:hint="eastAsia" w:ascii="仿宋" w:hAnsi="仿宋" w:eastAsia="仿宋" w:cs="仿宋"/>
                <w:sz w:val="24"/>
              </w:rPr>
              <w:t>牙齿外伤型缺失三齿以上</w:t>
            </w:r>
          </w:p>
        </w:tc>
        <w:tc>
          <w:tcPr>
            <w:tcW w:w="1610" w:type="dxa"/>
            <w:gridSpan w:val="3"/>
            <w:noWrap w:val="0"/>
            <w:vAlign w:val="center"/>
          </w:tcPr>
          <w:p w14:paraId="50EC9D7C">
            <w:pPr>
              <w:jc w:val="center"/>
              <w:rPr>
                <w:rFonts w:hint="eastAsia" w:ascii="仿宋" w:hAnsi="仿宋" w:eastAsia="仿宋" w:cs="仿宋"/>
                <w:sz w:val="24"/>
              </w:rPr>
            </w:pPr>
            <w:r>
              <w:rPr>
                <w:rFonts w:hint="eastAsia" w:ascii="仿宋" w:hAnsi="仿宋" w:eastAsia="仿宋" w:cs="仿宋"/>
                <w:sz w:val="24"/>
              </w:rPr>
              <w:t>3%</w:t>
            </w:r>
          </w:p>
        </w:tc>
        <w:tc>
          <w:tcPr>
            <w:tcW w:w="1748" w:type="dxa"/>
            <w:noWrap w:val="0"/>
            <w:vAlign w:val="center"/>
          </w:tcPr>
          <w:p w14:paraId="306E3D49">
            <w:pPr>
              <w:jc w:val="center"/>
              <w:rPr>
                <w:rFonts w:hint="eastAsia" w:ascii="仿宋" w:hAnsi="仿宋" w:eastAsia="仿宋" w:cs="仿宋"/>
                <w:sz w:val="24"/>
              </w:rPr>
            </w:pPr>
          </w:p>
        </w:tc>
      </w:tr>
      <w:tr w14:paraId="4EAE8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vMerge w:val="restart"/>
            <w:noWrap w:val="0"/>
            <w:vAlign w:val="center"/>
          </w:tcPr>
          <w:p w14:paraId="036D7A90">
            <w:pPr>
              <w:jc w:val="center"/>
              <w:rPr>
                <w:rFonts w:hint="eastAsia" w:ascii="仿宋" w:hAnsi="仿宋" w:eastAsia="仿宋" w:cs="仿宋"/>
                <w:sz w:val="24"/>
              </w:rPr>
            </w:pPr>
            <w:r>
              <w:rPr>
                <w:rFonts w:hint="eastAsia" w:ascii="仿宋" w:hAnsi="仿宋" w:eastAsia="仿宋" w:cs="仿宋"/>
                <w:sz w:val="24"/>
              </w:rPr>
              <w:t>皮</w:t>
            </w:r>
          </w:p>
          <w:p w14:paraId="630744ED">
            <w:pPr>
              <w:jc w:val="center"/>
              <w:rPr>
                <w:rFonts w:hint="eastAsia" w:ascii="仿宋" w:hAnsi="仿宋" w:eastAsia="仿宋" w:cs="仿宋"/>
                <w:sz w:val="24"/>
              </w:rPr>
            </w:pPr>
            <w:r>
              <w:rPr>
                <w:rFonts w:hint="eastAsia" w:ascii="仿宋" w:hAnsi="仿宋" w:eastAsia="仿宋" w:cs="仿宋"/>
                <w:sz w:val="24"/>
              </w:rPr>
              <w:t>肤</w:t>
            </w:r>
          </w:p>
        </w:tc>
        <w:tc>
          <w:tcPr>
            <w:tcW w:w="4670" w:type="dxa"/>
            <w:noWrap w:val="0"/>
            <w:vAlign w:val="center"/>
          </w:tcPr>
          <w:p w14:paraId="3C16A4BD">
            <w:pPr>
              <w:rPr>
                <w:rFonts w:hint="eastAsia" w:ascii="仿宋" w:hAnsi="仿宋" w:eastAsia="仿宋" w:cs="仿宋"/>
                <w:sz w:val="24"/>
              </w:rPr>
            </w:pPr>
            <w:r>
              <w:rPr>
                <w:rFonts w:hint="eastAsia" w:ascii="仿宋" w:hAnsi="仿宋" w:eastAsia="仿宋" w:cs="仿宋"/>
                <w:sz w:val="24"/>
              </w:rPr>
              <w:t>烧伤Ⅲ度,体表面积50%以上</w:t>
            </w:r>
          </w:p>
        </w:tc>
        <w:tc>
          <w:tcPr>
            <w:tcW w:w="1610" w:type="dxa"/>
            <w:gridSpan w:val="3"/>
            <w:noWrap w:val="0"/>
            <w:vAlign w:val="center"/>
          </w:tcPr>
          <w:p w14:paraId="490D5814">
            <w:pPr>
              <w:jc w:val="center"/>
              <w:rPr>
                <w:rFonts w:hint="eastAsia" w:ascii="仿宋" w:hAnsi="仿宋" w:eastAsia="仿宋" w:cs="仿宋"/>
                <w:sz w:val="24"/>
              </w:rPr>
            </w:pPr>
            <w:r>
              <w:rPr>
                <w:rFonts w:hint="eastAsia" w:ascii="仿宋" w:hAnsi="仿宋" w:eastAsia="仿宋" w:cs="仿宋"/>
                <w:sz w:val="24"/>
              </w:rPr>
              <w:t>85%</w:t>
            </w:r>
          </w:p>
        </w:tc>
        <w:tc>
          <w:tcPr>
            <w:tcW w:w="1748" w:type="dxa"/>
            <w:vMerge w:val="restart"/>
            <w:noWrap w:val="0"/>
            <w:vAlign w:val="center"/>
          </w:tcPr>
          <w:p w14:paraId="64D42FD1">
            <w:pPr>
              <w:jc w:val="center"/>
              <w:rPr>
                <w:rFonts w:hint="eastAsia" w:ascii="仿宋" w:hAnsi="仿宋" w:eastAsia="仿宋" w:cs="仿宋"/>
                <w:sz w:val="24"/>
              </w:rPr>
            </w:pPr>
            <w:r>
              <w:rPr>
                <w:rFonts w:hint="eastAsia" w:ascii="仿宋" w:hAnsi="仿宋" w:eastAsia="仿宋" w:cs="仿宋"/>
                <w:sz w:val="24"/>
              </w:rPr>
              <w:t>实际烧伤面积小于伤残规定面积的，按实际烧伤面积与伤残规定面积的相应比例赔偿</w:t>
            </w:r>
          </w:p>
        </w:tc>
      </w:tr>
      <w:tr w14:paraId="41D82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vMerge w:val="continue"/>
            <w:noWrap w:val="0"/>
            <w:vAlign w:val="center"/>
          </w:tcPr>
          <w:p w14:paraId="5F020F01">
            <w:pPr>
              <w:jc w:val="center"/>
              <w:rPr>
                <w:rFonts w:hint="eastAsia" w:ascii="仿宋" w:hAnsi="仿宋" w:eastAsia="仿宋" w:cs="仿宋"/>
                <w:sz w:val="24"/>
              </w:rPr>
            </w:pPr>
          </w:p>
        </w:tc>
        <w:tc>
          <w:tcPr>
            <w:tcW w:w="4670" w:type="dxa"/>
            <w:noWrap w:val="0"/>
            <w:vAlign w:val="center"/>
          </w:tcPr>
          <w:p w14:paraId="1484A785">
            <w:pPr>
              <w:rPr>
                <w:rFonts w:hint="eastAsia" w:ascii="仿宋" w:hAnsi="仿宋" w:eastAsia="仿宋" w:cs="仿宋"/>
                <w:sz w:val="24"/>
              </w:rPr>
            </w:pPr>
            <w:r>
              <w:rPr>
                <w:rFonts w:hint="eastAsia" w:ascii="仿宋" w:hAnsi="仿宋" w:eastAsia="仿宋" w:cs="仿宋"/>
                <w:sz w:val="24"/>
              </w:rPr>
              <w:t>烧伤Ⅱ度,体表面积50%以上</w:t>
            </w:r>
          </w:p>
        </w:tc>
        <w:tc>
          <w:tcPr>
            <w:tcW w:w="1610" w:type="dxa"/>
            <w:gridSpan w:val="3"/>
            <w:noWrap w:val="0"/>
            <w:vAlign w:val="center"/>
          </w:tcPr>
          <w:p w14:paraId="6C19E979">
            <w:pPr>
              <w:jc w:val="center"/>
              <w:rPr>
                <w:rFonts w:hint="eastAsia" w:ascii="仿宋" w:hAnsi="仿宋" w:eastAsia="仿宋" w:cs="仿宋"/>
                <w:sz w:val="24"/>
              </w:rPr>
            </w:pPr>
            <w:r>
              <w:rPr>
                <w:rFonts w:hint="eastAsia" w:ascii="仿宋" w:hAnsi="仿宋" w:eastAsia="仿宋" w:cs="仿宋"/>
                <w:sz w:val="24"/>
              </w:rPr>
              <w:t>30%</w:t>
            </w:r>
          </w:p>
        </w:tc>
        <w:tc>
          <w:tcPr>
            <w:tcW w:w="1748" w:type="dxa"/>
            <w:vMerge w:val="continue"/>
            <w:noWrap w:val="0"/>
            <w:vAlign w:val="center"/>
          </w:tcPr>
          <w:p w14:paraId="0CE7E636">
            <w:pPr>
              <w:jc w:val="center"/>
              <w:rPr>
                <w:rFonts w:hint="eastAsia" w:ascii="仿宋" w:hAnsi="仿宋" w:eastAsia="仿宋" w:cs="仿宋"/>
                <w:sz w:val="24"/>
              </w:rPr>
            </w:pPr>
          </w:p>
        </w:tc>
      </w:tr>
      <w:tr w14:paraId="61F3E9E9">
        <w:tblPrEx>
          <w:tblCellMar>
            <w:top w:w="0" w:type="dxa"/>
            <w:left w:w="108" w:type="dxa"/>
            <w:bottom w:w="0" w:type="dxa"/>
            <w:right w:w="108" w:type="dxa"/>
          </w:tblCellMar>
        </w:tblPrEx>
        <w:trPr>
          <w:gridAfter w:val="1"/>
          <w:wAfter w:w="44" w:type="dxa"/>
          <w:trHeight w:val="482" w:hRule="atLeast"/>
          <w:jc w:val="center"/>
        </w:trPr>
        <w:tc>
          <w:tcPr>
            <w:tcW w:w="1288" w:type="dxa"/>
            <w:gridSpan w:val="3"/>
            <w:vMerge w:val="continue"/>
            <w:noWrap w:val="0"/>
            <w:vAlign w:val="center"/>
          </w:tcPr>
          <w:p w14:paraId="3E3A1717">
            <w:pPr>
              <w:jc w:val="center"/>
              <w:rPr>
                <w:rFonts w:hint="eastAsia" w:ascii="仿宋" w:hAnsi="仿宋" w:eastAsia="仿宋" w:cs="仿宋"/>
                <w:sz w:val="24"/>
              </w:rPr>
            </w:pPr>
          </w:p>
        </w:tc>
        <w:tc>
          <w:tcPr>
            <w:tcW w:w="4670" w:type="dxa"/>
            <w:noWrap w:val="0"/>
            <w:vAlign w:val="center"/>
          </w:tcPr>
          <w:p w14:paraId="0B728CF8">
            <w:pPr>
              <w:rPr>
                <w:rFonts w:hint="eastAsia" w:ascii="仿宋" w:hAnsi="仿宋" w:eastAsia="仿宋" w:cs="仿宋"/>
                <w:sz w:val="24"/>
              </w:rPr>
            </w:pPr>
            <w:r>
              <w:rPr>
                <w:rFonts w:hint="eastAsia" w:ascii="仿宋" w:hAnsi="仿宋" w:eastAsia="仿宋" w:cs="仿宋"/>
                <w:sz w:val="24"/>
              </w:rPr>
              <w:t>烧伤Ⅰ度,体表面积30%以上</w:t>
            </w:r>
          </w:p>
        </w:tc>
        <w:tc>
          <w:tcPr>
            <w:tcW w:w="1610" w:type="dxa"/>
            <w:gridSpan w:val="3"/>
            <w:noWrap w:val="0"/>
            <w:vAlign w:val="center"/>
          </w:tcPr>
          <w:p w14:paraId="620F942E">
            <w:pPr>
              <w:jc w:val="center"/>
              <w:rPr>
                <w:rFonts w:hint="eastAsia" w:ascii="仿宋" w:hAnsi="仿宋" w:eastAsia="仿宋" w:cs="仿宋"/>
                <w:sz w:val="24"/>
              </w:rPr>
            </w:pPr>
            <w:r>
              <w:rPr>
                <w:rFonts w:hint="eastAsia" w:ascii="仿宋" w:hAnsi="仿宋" w:eastAsia="仿宋" w:cs="仿宋"/>
                <w:sz w:val="24"/>
              </w:rPr>
              <w:t>10%</w:t>
            </w:r>
          </w:p>
        </w:tc>
        <w:tc>
          <w:tcPr>
            <w:tcW w:w="1748" w:type="dxa"/>
            <w:vMerge w:val="continue"/>
            <w:noWrap w:val="0"/>
            <w:vAlign w:val="center"/>
          </w:tcPr>
          <w:p w14:paraId="6F9C6204">
            <w:pPr>
              <w:jc w:val="center"/>
              <w:rPr>
                <w:rFonts w:hint="eastAsia" w:ascii="仿宋" w:hAnsi="仿宋" w:eastAsia="仿宋" w:cs="仿宋"/>
                <w:sz w:val="24"/>
              </w:rPr>
            </w:pPr>
          </w:p>
        </w:tc>
      </w:tr>
      <w:tr w14:paraId="27691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568" w:type="dxa"/>
            <w:vMerge w:val="restart"/>
            <w:noWrap w:val="0"/>
            <w:vAlign w:val="center"/>
          </w:tcPr>
          <w:p w14:paraId="16111462">
            <w:pPr>
              <w:jc w:val="center"/>
              <w:rPr>
                <w:rFonts w:hint="eastAsia" w:ascii="仿宋" w:hAnsi="仿宋" w:eastAsia="仿宋" w:cs="仿宋"/>
                <w:sz w:val="24"/>
              </w:rPr>
            </w:pPr>
            <w:r>
              <w:rPr>
                <w:rFonts w:hint="eastAsia" w:ascii="仿宋" w:hAnsi="仿宋" w:eastAsia="仿宋" w:cs="仿宋"/>
                <w:sz w:val="24"/>
              </w:rPr>
              <w:t>脑</w:t>
            </w:r>
          </w:p>
          <w:p w14:paraId="7CF33660">
            <w:pPr>
              <w:jc w:val="center"/>
              <w:rPr>
                <w:rFonts w:hint="eastAsia" w:ascii="仿宋" w:hAnsi="仿宋" w:eastAsia="仿宋" w:cs="仿宋"/>
                <w:sz w:val="24"/>
              </w:rPr>
            </w:pPr>
          </w:p>
          <w:p w14:paraId="713D1062">
            <w:pPr>
              <w:jc w:val="center"/>
              <w:rPr>
                <w:rFonts w:hint="eastAsia" w:ascii="仿宋" w:hAnsi="仿宋" w:eastAsia="仿宋" w:cs="仿宋"/>
                <w:sz w:val="24"/>
              </w:rPr>
            </w:pPr>
          </w:p>
          <w:p w14:paraId="009C6F59">
            <w:pPr>
              <w:jc w:val="center"/>
              <w:rPr>
                <w:rFonts w:hint="eastAsia" w:ascii="仿宋" w:hAnsi="仿宋" w:eastAsia="仿宋" w:cs="仿宋"/>
                <w:sz w:val="24"/>
              </w:rPr>
            </w:pPr>
            <w:r>
              <w:rPr>
                <w:rFonts w:hint="eastAsia" w:ascii="仿宋" w:hAnsi="仿宋" w:eastAsia="仿宋" w:cs="仿宋"/>
                <w:sz w:val="24"/>
              </w:rPr>
              <w:t>部</w:t>
            </w:r>
          </w:p>
        </w:tc>
        <w:tc>
          <w:tcPr>
            <w:tcW w:w="720" w:type="dxa"/>
            <w:gridSpan w:val="2"/>
            <w:vMerge w:val="restart"/>
            <w:noWrap w:val="0"/>
            <w:vAlign w:val="center"/>
          </w:tcPr>
          <w:p w14:paraId="49382CA3">
            <w:pPr>
              <w:jc w:val="center"/>
              <w:rPr>
                <w:rFonts w:hint="eastAsia" w:ascii="仿宋" w:hAnsi="仿宋" w:eastAsia="仿宋" w:cs="仿宋"/>
                <w:sz w:val="24"/>
              </w:rPr>
            </w:pPr>
            <w:r>
              <w:rPr>
                <w:rFonts w:hint="eastAsia" w:ascii="仿宋" w:hAnsi="仿宋" w:eastAsia="仿宋" w:cs="仿宋"/>
                <w:sz w:val="24"/>
              </w:rPr>
              <w:t>外</w:t>
            </w:r>
          </w:p>
          <w:p w14:paraId="66DA3D9A">
            <w:pPr>
              <w:jc w:val="center"/>
              <w:rPr>
                <w:rFonts w:hint="eastAsia" w:ascii="仿宋" w:hAnsi="仿宋" w:eastAsia="仿宋" w:cs="仿宋"/>
                <w:sz w:val="24"/>
              </w:rPr>
            </w:pPr>
          </w:p>
          <w:p w14:paraId="7D107A76">
            <w:pPr>
              <w:jc w:val="center"/>
              <w:rPr>
                <w:rFonts w:hint="eastAsia" w:ascii="仿宋" w:hAnsi="仿宋" w:eastAsia="仿宋" w:cs="仿宋"/>
                <w:sz w:val="24"/>
              </w:rPr>
            </w:pPr>
            <w:r>
              <w:rPr>
                <w:rFonts w:hint="eastAsia" w:ascii="仿宋" w:hAnsi="仿宋" w:eastAsia="仿宋" w:cs="仿宋"/>
                <w:sz w:val="24"/>
              </w:rPr>
              <w:t>伤</w:t>
            </w:r>
          </w:p>
        </w:tc>
        <w:tc>
          <w:tcPr>
            <w:tcW w:w="4670" w:type="dxa"/>
            <w:noWrap w:val="0"/>
            <w:vAlign w:val="center"/>
          </w:tcPr>
          <w:p w14:paraId="7F877AC2">
            <w:pPr>
              <w:rPr>
                <w:rFonts w:hint="eastAsia" w:ascii="仿宋" w:hAnsi="仿宋" w:eastAsia="仿宋" w:cs="仿宋"/>
                <w:sz w:val="24"/>
              </w:rPr>
            </w:pPr>
            <w:r>
              <w:rPr>
                <w:rFonts w:hint="eastAsia" w:ascii="仿宋" w:hAnsi="仿宋" w:eastAsia="仿宋" w:cs="仿宋"/>
                <w:sz w:val="24"/>
              </w:rPr>
              <w:t>头盖骨骨折</w:t>
            </w:r>
          </w:p>
        </w:tc>
        <w:tc>
          <w:tcPr>
            <w:tcW w:w="1610" w:type="dxa"/>
            <w:gridSpan w:val="3"/>
            <w:noWrap w:val="0"/>
            <w:vAlign w:val="center"/>
          </w:tcPr>
          <w:p w14:paraId="5AED0E8C">
            <w:pPr>
              <w:jc w:val="center"/>
              <w:rPr>
                <w:rFonts w:hint="eastAsia" w:ascii="仿宋" w:hAnsi="仿宋" w:eastAsia="仿宋" w:cs="仿宋"/>
                <w:sz w:val="24"/>
              </w:rPr>
            </w:pPr>
            <w:r>
              <w:rPr>
                <w:rFonts w:hint="eastAsia" w:ascii="仿宋" w:hAnsi="仿宋" w:eastAsia="仿宋" w:cs="仿宋"/>
                <w:sz w:val="24"/>
              </w:rPr>
              <w:t>5%</w:t>
            </w:r>
          </w:p>
        </w:tc>
        <w:tc>
          <w:tcPr>
            <w:tcW w:w="1748" w:type="dxa"/>
            <w:noWrap w:val="0"/>
            <w:vAlign w:val="center"/>
          </w:tcPr>
          <w:p w14:paraId="671A8DC5">
            <w:pPr>
              <w:jc w:val="center"/>
              <w:rPr>
                <w:rFonts w:hint="eastAsia" w:ascii="仿宋" w:hAnsi="仿宋" w:eastAsia="仿宋" w:cs="仿宋"/>
                <w:sz w:val="24"/>
              </w:rPr>
            </w:pPr>
          </w:p>
        </w:tc>
      </w:tr>
      <w:tr w14:paraId="63721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568" w:type="dxa"/>
            <w:vMerge w:val="continue"/>
            <w:noWrap w:val="0"/>
            <w:vAlign w:val="center"/>
          </w:tcPr>
          <w:p w14:paraId="36BA5B28">
            <w:pPr>
              <w:jc w:val="center"/>
              <w:rPr>
                <w:rFonts w:hint="eastAsia" w:ascii="仿宋" w:hAnsi="仿宋" w:eastAsia="仿宋" w:cs="仿宋"/>
                <w:sz w:val="24"/>
              </w:rPr>
            </w:pPr>
          </w:p>
        </w:tc>
        <w:tc>
          <w:tcPr>
            <w:tcW w:w="720" w:type="dxa"/>
            <w:gridSpan w:val="2"/>
            <w:vMerge w:val="continue"/>
            <w:noWrap w:val="0"/>
            <w:vAlign w:val="center"/>
          </w:tcPr>
          <w:p w14:paraId="2381A3A8">
            <w:pPr>
              <w:jc w:val="center"/>
              <w:rPr>
                <w:rFonts w:hint="eastAsia" w:ascii="仿宋" w:hAnsi="仿宋" w:eastAsia="仿宋" w:cs="仿宋"/>
                <w:sz w:val="24"/>
              </w:rPr>
            </w:pPr>
          </w:p>
        </w:tc>
        <w:tc>
          <w:tcPr>
            <w:tcW w:w="4670" w:type="dxa"/>
            <w:noWrap w:val="0"/>
            <w:vAlign w:val="center"/>
          </w:tcPr>
          <w:p w14:paraId="4C062BF9">
            <w:pPr>
              <w:rPr>
                <w:rFonts w:hint="eastAsia" w:ascii="仿宋" w:hAnsi="仿宋" w:eastAsia="仿宋" w:cs="仿宋"/>
                <w:sz w:val="24"/>
              </w:rPr>
            </w:pPr>
            <w:r>
              <w:rPr>
                <w:rFonts w:hint="eastAsia" w:ascii="仿宋" w:hAnsi="仿宋" w:eastAsia="仿宋" w:cs="仿宋"/>
                <w:sz w:val="24"/>
              </w:rPr>
              <w:t>头盖骨多发性骨折</w:t>
            </w:r>
          </w:p>
        </w:tc>
        <w:tc>
          <w:tcPr>
            <w:tcW w:w="1610" w:type="dxa"/>
            <w:gridSpan w:val="3"/>
            <w:noWrap w:val="0"/>
            <w:vAlign w:val="center"/>
          </w:tcPr>
          <w:p w14:paraId="3EC5C9F1">
            <w:pPr>
              <w:jc w:val="center"/>
              <w:rPr>
                <w:rFonts w:hint="eastAsia" w:ascii="仿宋" w:hAnsi="仿宋" w:eastAsia="仿宋" w:cs="仿宋"/>
                <w:sz w:val="24"/>
              </w:rPr>
            </w:pPr>
            <w:r>
              <w:rPr>
                <w:rFonts w:hint="eastAsia" w:ascii="仿宋" w:hAnsi="仿宋" w:eastAsia="仿宋" w:cs="仿宋"/>
                <w:sz w:val="24"/>
              </w:rPr>
              <w:t>10%</w:t>
            </w:r>
          </w:p>
        </w:tc>
        <w:tc>
          <w:tcPr>
            <w:tcW w:w="1748" w:type="dxa"/>
            <w:noWrap w:val="0"/>
            <w:vAlign w:val="center"/>
          </w:tcPr>
          <w:p w14:paraId="4390DCF1">
            <w:pPr>
              <w:jc w:val="center"/>
              <w:rPr>
                <w:rFonts w:hint="eastAsia" w:ascii="仿宋" w:hAnsi="仿宋" w:eastAsia="仿宋" w:cs="仿宋"/>
                <w:sz w:val="24"/>
              </w:rPr>
            </w:pPr>
          </w:p>
        </w:tc>
      </w:tr>
      <w:tr w14:paraId="4D070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568" w:type="dxa"/>
            <w:vMerge w:val="continue"/>
            <w:noWrap w:val="0"/>
            <w:vAlign w:val="center"/>
          </w:tcPr>
          <w:p w14:paraId="487D1C79">
            <w:pPr>
              <w:jc w:val="center"/>
              <w:rPr>
                <w:rFonts w:hint="eastAsia" w:ascii="仿宋" w:hAnsi="仿宋" w:eastAsia="仿宋" w:cs="仿宋"/>
                <w:sz w:val="24"/>
              </w:rPr>
            </w:pPr>
          </w:p>
        </w:tc>
        <w:tc>
          <w:tcPr>
            <w:tcW w:w="720" w:type="dxa"/>
            <w:gridSpan w:val="2"/>
            <w:vMerge w:val="continue"/>
            <w:noWrap w:val="0"/>
            <w:vAlign w:val="center"/>
          </w:tcPr>
          <w:p w14:paraId="227593F3">
            <w:pPr>
              <w:jc w:val="center"/>
              <w:rPr>
                <w:rFonts w:hint="eastAsia" w:ascii="仿宋" w:hAnsi="仿宋" w:eastAsia="仿宋" w:cs="仿宋"/>
                <w:sz w:val="24"/>
              </w:rPr>
            </w:pPr>
          </w:p>
        </w:tc>
        <w:tc>
          <w:tcPr>
            <w:tcW w:w="4670" w:type="dxa"/>
            <w:noWrap w:val="0"/>
            <w:vAlign w:val="center"/>
          </w:tcPr>
          <w:p w14:paraId="52BD954F">
            <w:pPr>
              <w:rPr>
                <w:rFonts w:hint="eastAsia" w:ascii="仿宋" w:hAnsi="仿宋" w:eastAsia="仿宋" w:cs="仿宋"/>
                <w:sz w:val="24"/>
              </w:rPr>
            </w:pPr>
            <w:r>
              <w:rPr>
                <w:rFonts w:hint="eastAsia" w:ascii="仿宋" w:hAnsi="仿宋" w:eastAsia="仿宋" w:cs="仿宋"/>
                <w:sz w:val="24"/>
              </w:rPr>
              <w:t>颅骨内陷性骨折</w:t>
            </w:r>
          </w:p>
        </w:tc>
        <w:tc>
          <w:tcPr>
            <w:tcW w:w="1610" w:type="dxa"/>
            <w:gridSpan w:val="3"/>
            <w:noWrap w:val="0"/>
            <w:vAlign w:val="center"/>
          </w:tcPr>
          <w:p w14:paraId="010E4F5B">
            <w:pPr>
              <w:jc w:val="center"/>
              <w:rPr>
                <w:rFonts w:hint="eastAsia" w:ascii="仿宋" w:hAnsi="仿宋" w:eastAsia="仿宋" w:cs="仿宋"/>
                <w:sz w:val="24"/>
              </w:rPr>
            </w:pPr>
            <w:r>
              <w:rPr>
                <w:rFonts w:hint="eastAsia" w:ascii="仿宋" w:hAnsi="仿宋" w:eastAsia="仿宋" w:cs="仿宋"/>
                <w:sz w:val="24"/>
              </w:rPr>
              <w:t>20%</w:t>
            </w:r>
          </w:p>
        </w:tc>
        <w:tc>
          <w:tcPr>
            <w:tcW w:w="1748" w:type="dxa"/>
            <w:noWrap w:val="0"/>
            <w:vAlign w:val="center"/>
          </w:tcPr>
          <w:p w14:paraId="39AB4519">
            <w:pPr>
              <w:jc w:val="center"/>
              <w:rPr>
                <w:rFonts w:hint="eastAsia" w:ascii="仿宋" w:hAnsi="仿宋" w:eastAsia="仿宋" w:cs="仿宋"/>
                <w:sz w:val="24"/>
              </w:rPr>
            </w:pPr>
          </w:p>
        </w:tc>
      </w:tr>
      <w:tr w14:paraId="1C0E6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568" w:type="dxa"/>
            <w:vMerge w:val="continue"/>
            <w:noWrap w:val="0"/>
            <w:vAlign w:val="center"/>
          </w:tcPr>
          <w:p w14:paraId="747BE3B5">
            <w:pPr>
              <w:jc w:val="center"/>
              <w:rPr>
                <w:rFonts w:hint="eastAsia" w:ascii="仿宋" w:hAnsi="仿宋" w:eastAsia="仿宋" w:cs="仿宋"/>
                <w:sz w:val="24"/>
              </w:rPr>
            </w:pPr>
          </w:p>
        </w:tc>
        <w:tc>
          <w:tcPr>
            <w:tcW w:w="720" w:type="dxa"/>
            <w:gridSpan w:val="2"/>
            <w:vMerge w:val="continue"/>
            <w:noWrap w:val="0"/>
            <w:vAlign w:val="center"/>
          </w:tcPr>
          <w:p w14:paraId="20D5BA13">
            <w:pPr>
              <w:jc w:val="center"/>
              <w:rPr>
                <w:rFonts w:hint="eastAsia" w:ascii="仿宋" w:hAnsi="仿宋" w:eastAsia="仿宋" w:cs="仿宋"/>
                <w:sz w:val="24"/>
              </w:rPr>
            </w:pPr>
          </w:p>
        </w:tc>
        <w:tc>
          <w:tcPr>
            <w:tcW w:w="4670" w:type="dxa"/>
            <w:noWrap w:val="0"/>
            <w:vAlign w:val="center"/>
          </w:tcPr>
          <w:p w14:paraId="1032FC78">
            <w:pPr>
              <w:rPr>
                <w:rFonts w:hint="eastAsia" w:ascii="仿宋" w:hAnsi="仿宋" w:eastAsia="仿宋" w:cs="仿宋"/>
                <w:sz w:val="24"/>
              </w:rPr>
            </w:pPr>
            <w:r>
              <w:rPr>
                <w:rFonts w:hint="eastAsia" w:ascii="仿宋" w:hAnsi="仿宋" w:eastAsia="仿宋" w:cs="仿宋"/>
                <w:sz w:val="24"/>
              </w:rPr>
              <w:t>颅底骨开放性骨折</w:t>
            </w:r>
          </w:p>
        </w:tc>
        <w:tc>
          <w:tcPr>
            <w:tcW w:w="1610" w:type="dxa"/>
            <w:gridSpan w:val="3"/>
            <w:noWrap w:val="0"/>
            <w:vAlign w:val="center"/>
          </w:tcPr>
          <w:p w14:paraId="48003E96">
            <w:pPr>
              <w:jc w:val="center"/>
              <w:rPr>
                <w:rFonts w:hint="eastAsia" w:ascii="仿宋" w:hAnsi="仿宋" w:eastAsia="仿宋" w:cs="仿宋"/>
                <w:sz w:val="24"/>
              </w:rPr>
            </w:pPr>
            <w:r>
              <w:rPr>
                <w:rFonts w:hint="eastAsia" w:ascii="仿宋" w:hAnsi="仿宋" w:eastAsia="仿宋" w:cs="仿宋"/>
                <w:sz w:val="24"/>
              </w:rPr>
              <w:t>30%</w:t>
            </w:r>
          </w:p>
        </w:tc>
        <w:tc>
          <w:tcPr>
            <w:tcW w:w="1748" w:type="dxa"/>
            <w:noWrap w:val="0"/>
            <w:vAlign w:val="center"/>
          </w:tcPr>
          <w:p w14:paraId="77B40D5B">
            <w:pPr>
              <w:jc w:val="center"/>
              <w:rPr>
                <w:rFonts w:hint="eastAsia" w:ascii="仿宋" w:hAnsi="仿宋" w:eastAsia="仿宋" w:cs="仿宋"/>
                <w:sz w:val="24"/>
              </w:rPr>
            </w:pPr>
          </w:p>
        </w:tc>
      </w:tr>
      <w:tr w14:paraId="4F344C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568" w:type="dxa"/>
            <w:vMerge w:val="continue"/>
            <w:noWrap w:val="0"/>
            <w:vAlign w:val="center"/>
          </w:tcPr>
          <w:p w14:paraId="1C9F3280">
            <w:pPr>
              <w:jc w:val="center"/>
              <w:rPr>
                <w:rFonts w:hint="eastAsia" w:ascii="仿宋" w:hAnsi="仿宋" w:eastAsia="仿宋" w:cs="仿宋"/>
                <w:sz w:val="24"/>
              </w:rPr>
            </w:pPr>
          </w:p>
        </w:tc>
        <w:tc>
          <w:tcPr>
            <w:tcW w:w="720" w:type="dxa"/>
            <w:gridSpan w:val="2"/>
            <w:vMerge w:val="continue"/>
            <w:noWrap w:val="0"/>
            <w:vAlign w:val="center"/>
          </w:tcPr>
          <w:p w14:paraId="15A2E75C">
            <w:pPr>
              <w:jc w:val="center"/>
              <w:rPr>
                <w:rFonts w:hint="eastAsia" w:ascii="仿宋" w:hAnsi="仿宋" w:eastAsia="仿宋" w:cs="仿宋"/>
                <w:sz w:val="24"/>
              </w:rPr>
            </w:pPr>
          </w:p>
        </w:tc>
        <w:tc>
          <w:tcPr>
            <w:tcW w:w="4670" w:type="dxa"/>
            <w:noWrap w:val="0"/>
            <w:vAlign w:val="center"/>
          </w:tcPr>
          <w:p w14:paraId="0A0E3CB7">
            <w:pPr>
              <w:rPr>
                <w:rFonts w:hint="eastAsia" w:ascii="仿宋" w:hAnsi="仿宋" w:eastAsia="仿宋" w:cs="仿宋"/>
                <w:sz w:val="24"/>
              </w:rPr>
            </w:pPr>
            <w:r>
              <w:rPr>
                <w:rFonts w:hint="eastAsia" w:ascii="仿宋" w:hAnsi="仿宋" w:eastAsia="仿宋" w:cs="仿宋"/>
                <w:sz w:val="24"/>
              </w:rPr>
              <w:t>重度脑挫裂伤，外伤性颅内出血</w:t>
            </w:r>
          </w:p>
        </w:tc>
        <w:tc>
          <w:tcPr>
            <w:tcW w:w="1610" w:type="dxa"/>
            <w:gridSpan w:val="3"/>
            <w:noWrap w:val="0"/>
            <w:vAlign w:val="center"/>
          </w:tcPr>
          <w:p w14:paraId="5450A9F7">
            <w:pPr>
              <w:jc w:val="center"/>
              <w:rPr>
                <w:rFonts w:hint="eastAsia" w:ascii="仿宋" w:hAnsi="仿宋" w:eastAsia="仿宋" w:cs="仿宋"/>
                <w:sz w:val="24"/>
              </w:rPr>
            </w:pPr>
            <w:r>
              <w:rPr>
                <w:rFonts w:hint="eastAsia" w:ascii="仿宋" w:hAnsi="仿宋" w:eastAsia="仿宋" w:cs="仿宋"/>
                <w:sz w:val="24"/>
              </w:rPr>
              <w:t>20%</w:t>
            </w:r>
          </w:p>
        </w:tc>
        <w:tc>
          <w:tcPr>
            <w:tcW w:w="1748" w:type="dxa"/>
            <w:noWrap w:val="0"/>
            <w:vAlign w:val="center"/>
          </w:tcPr>
          <w:p w14:paraId="4CC136B4">
            <w:pPr>
              <w:jc w:val="center"/>
              <w:rPr>
                <w:rFonts w:hint="eastAsia" w:ascii="仿宋" w:hAnsi="仿宋" w:eastAsia="仿宋" w:cs="仿宋"/>
                <w:sz w:val="24"/>
              </w:rPr>
            </w:pPr>
          </w:p>
        </w:tc>
      </w:tr>
      <w:tr w14:paraId="54178494">
        <w:tblPrEx>
          <w:tblCellMar>
            <w:top w:w="0" w:type="dxa"/>
            <w:left w:w="108" w:type="dxa"/>
            <w:bottom w:w="0" w:type="dxa"/>
            <w:right w:w="108" w:type="dxa"/>
          </w:tblCellMar>
        </w:tblPrEx>
        <w:trPr>
          <w:gridAfter w:val="1"/>
          <w:wAfter w:w="44" w:type="dxa"/>
          <w:trHeight w:val="482" w:hRule="atLeast"/>
          <w:jc w:val="center"/>
        </w:trPr>
        <w:tc>
          <w:tcPr>
            <w:tcW w:w="568" w:type="dxa"/>
            <w:vMerge w:val="continue"/>
            <w:noWrap w:val="0"/>
            <w:vAlign w:val="center"/>
          </w:tcPr>
          <w:p w14:paraId="25FA9885">
            <w:pPr>
              <w:jc w:val="center"/>
              <w:rPr>
                <w:rFonts w:hint="eastAsia" w:ascii="仿宋" w:hAnsi="仿宋" w:eastAsia="仿宋" w:cs="仿宋"/>
                <w:sz w:val="24"/>
              </w:rPr>
            </w:pPr>
          </w:p>
        </w:tc>
        <w:tc>
          <w:tcPr>
            <w:tcW w:w="720" w:type="dxa"/>
            <w:gridSpan w:val="2"/>
            <w:vMerge w:val="restart"/>
            <w:noWrap w:val="0"/>
            <w:vAlign w:val="center"/>
          </w:tcPr>
          <w:p w14:paraId="40D23CFB">
            <w:pPr>
              <w:jc w:val="center"/>
              <w:rPr>
                <w:rFonts w:hint="eastAsia" w:ascii="仿宋" w:hAnsi="仿宋" w:eastAsia="仿宋" w:cs="仿宋"/>
                <w:sz w:val="24"/>
              </w:rPr>
            </w:pPr>
            <w:r>
              <w:rPr>
                <w:rFonts w:hint="eastAsia" w:ascii="仿宋" w:hAnsi="仿宋" w:eastAsia="仿宋" w:cs="仿宋"/>
                <w:sz w:val="24"/>
              </w:rPr>
              <w:t>脑</w:t>
            </w:r>
          </w:p>
          <w:p w14:paraId="1751109E">
            <w:pPr>
              <w:jc w:val="center"/>
              <w:rPr>
                <w:rFonts w:hint="eastAsia" w:ascii="仿宋" w:hAnsi="仿宋" w:eastAsia="仿宋" w:cs="仿宋"/>
                <w:sz w:val="24"/>
              </w:rPr>
            </w:pPr>
            <w:r>
              <w:rPr>
                <w:rFonts w:hint="eastAsia" w:ascii="仿宋" w:hAnsi="仿宋" w:eastAsia="仿宋" w:cs="仿宋"/>
                <w:sz w:val="24"/>
              </w:rPr>
              <w:t>残</w:t>
            </w:r>
          </w:p>
          <w:p w14:paraId="0D613110">
            <w:pPr>
              <w:jc w:val="center"/>
              <w:rPr>
                <w:rFonts w:hint="eastAsia" w:ascii="仿宋" w:hAnsi="仿宋" w:eastAsia="仿宋" w:cs="仿宋"/>
                <w:sz w:val="24"/>
              </w:rPr>
            </w:pPr>
            <w:r>
              <w:rPr>
                <w:rFonts w:hint="eastAsia" w:ascii="仿宋" w:hAnsi="仿宋" w:eastAsia="仿宋" w:cs="仿宋"/>
                <w:sz w:val="24"/>
              </w:rPr>
              <w:t>疾</w:t>
            </w:r>
          </w:p>
        </w:tc>
        <w:tc>
          <w:tcPr>
            <w:tcW w:w="4670" w:type="dxa"/>
            <w:noWrap w:val="0"/>
            <w:vAlign w:val="center"/>
          </w:tcPr>
          <w:p w14:paraId="2126FA91">
            <w:pPr>
              <w:rPr>
                <w:rFonts w:hint="eastAsia" w:ascii="仿宋" w:hAnsi="仿宋" w:eastAsia="仿宋" w:cs="仿宋"/>
                <w:sz w:val="24"/>
              </w:rPr>
            </w:pPr>
            <w:r>
              <w:rPr>
                <w:rFonts w:hint="eastAsia" w:ascii="仿宋" w:hAnsi="仿宋" w:eastAsia="仿宋" w:cs="仿宋"/>
                <w:sz w:val="24"/>
              </w:rPr>
              <w:t>脑外伤后完全性瘫痪（植物人）</w:t>
            </w:r>
          </w:p>
        </w:tc>
        <w:tc>
          <w:tcPr>
            <w:tcW w:w="1610" w:type="dxa"/>
            <w:gridSpan w:val="3"/>
            <w:noWrap w:val="0"/>
            <w:vAlign w:val="center"/>
          </w:tcPr>
          <w:p w14:paraId="1FF8BD59">
            <w:pPr>
              <w:jc w:val="center"/>
              <w:rPr>
                <w:rFonts w:hint="eastAsia" w:ascii="仿宋" w:hAnsi="仿宋" w:eastAsia="仿宋" w:cs="仿宋"/>
                <w:sz w:val="24"/>
              </w:rPr>
            </w:pPr>
            <w:r>
              <w:rPr>
                <w:rFonts w:hint="eastAsia" w:ascii="仿宋" w:hAnsi="仿宋" w:eastAsia="仿宋" w:cs="仿宋"/>
                <w:sz w:val="24"/>
              </w:rPr>
              <w:t>100%</w:t>
            </w:r>
          </w:p>
        </w:tc>
        <w:tc>
          <w:tcPr>
            <w:tcW w:w="1748" w:type="dxa"/>
            <w:noWrap w:val="0"/>
            <w:vAlign w:val="center"/>
          </w:tcPr>
          <w:p w14:paraId="47BC7774">
            <w:pPr>
              <w:jc w:val="center"/>
              <w:rPr>
                <w:rFonts w:hint="eastAsia" w:ascii="仿宋" w:hAnsi="仿宋" w:eastAsia="仿宋" w:cs="仿宋"/>
                <w:sz w:val="24"/>
              </w:rPr>
            </w:pPr>
          </w:p>
        </w:tc>
      </w:tr>
      <w:tr w14:paraId="05603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568" w:type="dxa"/>
            <w:vMerge w:val="continue"/>
            <w:noWrap w:val="0"/>
            <w:vAlign w:val="center"/>
          </w:tcPr>
          <w:p w14:paraId="23066074">
            <w:pPr>
              <w:jc w:val="center"/>
              <w:rPr>
                <w:rFonts w:hint="eastAsia" w:ascii="仿宋" w:hAnsi="仿宋" w:eastAsia="仿宋" w:cs="仿宋"/>
                <w:sz w:val="24"/>
              </w:rPr>
            </w:pPr>
          </w:p>
        </w:tc>
        <w:tc>
          <w:tcPr>
            <w:tcW w:w="720" w:type="dxa"/>
            <w:gridSpan w:val="2"/>
            <w:vMerge w:val="continue"/>
            <w:noWrap w:val="0"/>
            <w:vAlign w:val="center"/>
          </w:tcPr>
          <w:p w14:paraId="6F505FF4">
            <w:pPr>
              <w:jc w:val="center"/>
              <w:rPr>
                <w:rFonts w:hint="eastAsia" w:ascii="仿宋" w:hAnsi="仿宋" w:eastAsia="仿宋" w:cs="仿宋"/>
                <w:sz w:val="24"/>
              </w:rPr>
            </w:pPr>
          </w:p>
        </w:tc>
        <w:tc>
          <w:tcPr>
            <w:tcW w:w="4670" w:type="dxa"/>
            <w:noWrap w:val="0"/>
            <w:vAlign w:val="center"/>
          </w:tcPr>
          <w:p w14:paraId="6AC8F9C8">
            <w:pPr>
              <w:rPr>
                <w:rFonts w:hint="eastAsia" w:ascii="仿宋" w:hAnsi="仿宋" w:eastAsia="仿宋" w:cs="仿宋"/>
                <w:sz w:val="24"/>
              </w:rPr>
            </w:pPr>
            <w:r>
              <w:rPr>
                <w:rFonts w:hint="eastAsia" w:ascii="仿宋" w:hAnsi="仿宋" w:eastAsia="仿宋" w:cs="仿宋"/>
                <w:sz w:val="24"/>
              </w:rPr>
              <w:t>脑外伤性痴呆或完全失语</w:t>
            </w:r>
          </w:p>
        </w:tc>
        <w:tc>
          <w:tcPr>
            <w:tcW w:w="1610" w:type="dxa"/>
            <w:gridSpan w:val="3"/>
            <w:noWrap w:val="0"/>
            <w:vAlign w:val="center"/>
          </w:tcPr>
          <w:p w14:paraId="6E98EB21">
            <w:pPr>
              <w:jc w:val="center"/>
              <w:rPr>
                <w:rFonts w:hint="eastAsia" w:ascii="仿宋" w:hAnsi="仿宋" w:eastAsia="仿宋" w:cs="仿宋"/>
                <w:sz w:val="24"/>
              </w:rPr>
            </w:pPr>
            <w:r>
              <w:rPr>
                <w:rFonts w:hint="eastAsia" w:ascii="仿宋" w:hAnsi="仿宋" w:eastAsia="仿宋" w:cs="仿宋"/>
                <w:sz w:val="24"/>
              </w:rPr>
              <w:t>50%</w:t>
            </w:r>
          </w:p>
        </w:tc>
        <w:tc>
          <w:tcPr>
            <w:tcW w:w="1748" w:type="dxa"/>
            <w:noWrap w:val="0"/>
            <w:vAlign w:val="center"/>
          </w:tcPr>
          <w:p w14:paraId="2E0347C5">
            <w:pPr>
              <w:jc w:val="center"/>
              <w:rPr>
                <w:rFonts w:hint="eastAsia" w:ascii="仿宋" w:hAnsi="仿宋" w:eastAsia="仿宋" w:cs="仿宋"/>
                <w:sz w:val="24"/>
              </w:rPr>
            </w:pPr>
          </w:p>
        </w:tc>
      </w:tr>
      <w:tr w14:paraId="1346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568" w:type="dxa"/>
            <w:vMerge w:val="continue"/>
            <w:noWrap w:val="0"/>
            <w:vAlign w:val="center"/>
          </w:tcPr>
          <w:p w14:paraId="27F2E2C1">
            <w:pPr>
              <w:jc w:val="center"/>
              <w:rPr>
                <w:rFonts w:hint="eastAsia" w:ascii="仿宋" w:hAnsi="仿宋" w:eastAsia="仿宋" w:cs="仿宋"/>
                <w:sz w:val="24"/>
              </w:rPr>
            </w:pPr>
          </w:p>
        </w:tc>
        <w:tc>
          <w:tcPr>
            <w:tcW w:w="720" w:type="dxa"/>
            <w:gridSpan w:val="2"/>
            <w:vMerge w:val="continue"/>
            <w:noWrap w:val="0"/>
            <w:vAlign w:val="center"/>
          </w:tcPr>
          <w:p w14:paraId="00610B7D">
            <w:pPr>
              <w:jc w:val="center"/>
              <w:rPr>
                <w:rFonts w:hint="eastAsia" w:ascii="仿宋" w:hAnsi="仿宋" w:eastAsia="仿宋" w:cs="仿宋"/>
                <w:sz w:val="24"/>
              </w:rPr>
            </w:pPr>
          </w:p>
        </w:tc>
        <w:tc>
          <w:tcPr>
            <w:tcW w:w="4670" w:type="dxa"/>
            <w:noWrap w:val="0"/>
            <w:vAlign w:val="center"/>
          </w:tcPr>
          <w:p w14:paraId="74ABD813">
            <w:pPr>
              <w:rPr>
                <w:rFonts w:hint="eastAsia" w:ascii="仿宋" w:hAnsi="仿宋" w:eastAsia="仿宋" w:cs="仿宋"/>
                <w:sz w:val="24"/>
              </w:rPr>
            </w:pPr>
            <w:r>
              <w:rPr>
                <w:rFonts w:hint="eastAsia" w:ascii="仿宋" w:hAnsi="仿宋" w:eastAsia="仿宋" w:cs="仿宋"/>
                <w:sz w:val="24"/>
              </w:rPr>
              <w:t>脑外伤后失读或失写症</w:t>
            </w:r>
          </w:p>
        </w:tc>
        <w:tc>
          <w:tcPr>
            <w:tcW w:w="1610" w:type="dxa"/>
            <w:gridSpan w:val="3"/>
            <w:noWrap w:val="0"/>
            <w:vAlign w:val="center"/>
          </w:tcPr>
          <w:p w14:paraId="302D9C74">
            <w:pPr>
              <w:jc w:val="center"/>
              <w:rPr>
                <w:rFonts w:hint="eastAsia" w:ascii="仿宋" w:hAnsi="仿宋" w:eastAsia="仿宋" w:cs="仿宋"/>
                <w:sz w:val="24"/>
              </w:rPr>
            </w:pPr>
            <w:r>
              <w:rPr>
                <w:rFonts w:hint="eastAsia" w:ascii="仿宋" w:hAnsi="仿宋" w:eastAsia="仿宋" w:cs="仿宋"/>
                <w:sz w:val="24"/>
              </w:rPr>
              <w:t>30%</w:t>
            </w:r>
          </w:p>
        </w:tc>
        <w:tc>
          <w:tcPr>
            <w:tcW w:w="1748" w:type="dxa"/>
            <w:noWrap w:val="0"/>
            <w:vAlign w:val="center"/>
          </w:tcPr>
          <w:p w14:paraId="06E905C9">
            <w:pPr>
              <w:jc w:val="center"/>
              <w:rPr>
                <w:rFonts w:hint="eastAsia" w:ascii="仿宋" w:hAnsi="仿宋" w:eastAsia="仿宋" w:cs="仿宋"/>
                <w:sz w:val="24"/>
              </w:rPr>
            </w:pPr>
          </w:p>
        </w:tc>
      </w:tr>
      <w:tr w14:paraId="5103E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vMerge w:val="restart"/>
            <w:noWrap w:val="0"/>
            <w:vAlign w:val="center"/>
          </w:tcPr>
          <w:p w14:paraId="5BE4A65D">
            <w:pPr>
              <w:jc w:val="center"/>
              <w:rPr>
                <w:rFonts w:hint="eastAsia" w:ascii="仿宋" w:hAnsi="仿宋" w:eastAsia="仿宋" w:cs="仿宋"/>
                <w:sz w:val="24"/>
              </w:rPr>
            </w:pPr>
            <w:r>
              <w:rPr>
                <w:rFonts w:hint="eastAsia" w:ascii="仿宋" w:hAnsi="仿宋" w:eastAsia="仿宋" w:cs="仿宋"/>
                <w:sz w:val="24"/>
              </w:rPr>
              <w:t>内脏</w:t>
            </w:r>
          </w:p>
          <w:p w14:paraId="30977883">
            <w:pPr>
              <w:jc w:val="center"/>
              <w:rPr>
                <w:rFonts w:hint="eastAsia" w:ascii="仿宋" w:hAnsi="仿宋" w:eastAsia="仿宋" w:cs="仿宋"/>
                <w:sz w:val="24"/>
              </w:rPr>
            </w:pPr>
            <w:r>
              <w:rPr>
                <w:rFonts w:hint="eastAsia" w:ascii="仿宋" w:hAnsi="仿宋" w:eastAsia="仿宋" w:cs="仿宋"/>
                <w:sz w:val="24"/>
              </w:rPr>
              <w:t>器官</w:t>
            </w:r>
          </w:p>
        </w:tc>
        <w:tc>
          <w:tcPr>
            <w:tcW w:w="4670" w:type="dxa"/>
            <w:noWrap w:val="0"/>
            <w:vAlign w:val="center"/>
          </w:tcPr>
          <w:p w14:paraId="2F559BF7">
            <w:pPr>
              <w:rPr>
                <w:rFonts w:hint="eastAsia" w:ascii="仿宋" w:hAnsi="仿宋" w:eastAsia="仿宋" w:cs="仿宋"/>
                <w:sz w:val="24"/>
              </w:rPr>
            </w:pPr>
            <w:r>
              <w:rPr>
                <w:rFonts w:hint="eastAsia" w:ascii="仿宋" w:hAnsi="仿宋" w:eastAsia="仿宋" w:cs="仿宋"/>
                <w:sz w:val="24"/>
              </w:rPr>
              <w:t>肝、 脾、肠等内脏器官外伤性碎裂</w:t>
            </w:r>
          </w:p>
        </w:tc>
        <w:tc>
          <w:tcPr>
            <w:tcW w:w="1610" w:type="dxa"/>
            <w:gridSpan w:val="3"/>
            <w:noWrap w:val="0"/>
            <w:vAlign w:val="center"/>
          </w:tcPr>
          <w:p w14:paraId="4C8E15C3">
            <w:pPr>
              <w:jc w:val="center"/>
              <w:rPr>
                <w:rFonts w:hint="eastAsia" w:ascii="仿宋" w:hAnsi="仿宋" w:eastAsia="仿宋" w:cs="仿宋"/>
                <w:sz w:val="24"/>
              </w:rPr>
            </w:pPr>
            <w:r>
              <w:rPr>
                <w:rFonts w:hint="eastAsia" w:ascii="仿宋" w:hAnsi="仿宋" w:eastAsia="仿宋" w:cs="仿宋"/>
                <w:sz w:val="24"/>
              </w:rPr>
              <w:t>10%</w:t>
            </w:r>
          </w:p>
        </w:tc>
        <w:tc>
          <w:tcPr>
            <w:tcW w:w="1748" w:type="dxa"/>
            <w:noWrap w:val="0"/>
            <w:vAlign w:val="center"/>
          </w:tcPr>
          <w:p w14:paraId="7DB4B89F">
            <w:pPr>
              <w:jc w:val="center"/>
              <w:rPr>
                <w:rFonts w:hint="eastAsia" w:ascii="仿宋" w:hAnsi="仿宋" w:eastAsia="仿宋" w:cs="仿宋"/>
                <w:sz w:val="24"/>
              </w:rPr>
            </w:pPr>
          </w:p>
        </w:tc>
      </w:tr>
      <w:tr w14:paraId="59C32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4" w:type="dxa"/>
          <w:trHeight w:val="482" w:hRule="atLeast"/>
          <w:jc w:val="center"/>
        </w:trPr>
        <w:tc>
          <w:tcPr>
            <w:tcW w:w="1288" w:type="dxa"/>
            <w:gridSpan w:val="3"/>
            <w:vMerge w:val="continue"/>
            <w:noWrap w:val="0"/>
            <w:vAlign w:val="center"/>
          </w:tcPr>
          <w:p w14:paraId="2235892D">
            <w:pPr>
              <w:jc w:val="center"/>
              <w:rPr>
                <w:rFonts w:hint="eastAsia" w:ascii="仿宋" w:hAnsi="仿宋" w:eastAsia="仿宋" w:cs="仿宋"/>
                <w:sz w:val="24"/>
              </w:rPr>
            </w:pPr>
          </w:p>
        </w:tc>
        <w:tc>
          <w:tcPr>
            <w:tcW w:w="4670" w:type="dxa"/>
            <w:noWrap w:val="0"/>
            <w:vAlign w:val="center"/>
          </w:tcPr>
          <w:p w14:paraId="06A7A37E">
            <w:pPr>
              <w:rPr>
                <w:rFonts w:hint="eastAsia" w:ascii="仿宋" w:hAnsi="仿宋" w:eastAsia="仿宋" w:cs="仿宋"/>
                <w:sz w:val="24"/>
              </w:rPr>
            </w:pPr>
            <w:r>
              <w:rPr>
                <w:rFonts w:hint="eastAsia" w:ascii="仿宋" w:hAnsi="仿宋" w:eastAsia="仿宋" w:cs="仿宋"/>
                <w:sz w:val="24"/>
              </w:rPr>
              <w:t>肝、 脾、肠等内脏器官外伤性切除</w:t>
            </w:r>
          </w:p>
        </w:tc>
        <w:tc>
          <w:tcPr>
            <w:tcW w:w="1610" w:type="dxa"/>
            <w:gridSpan w:val="3"/>
            <w:noWrap w:val="0"/>
            <w:vAlign w:val="center"/>
          </w:tcPr>
          <w:p w14:paraId="50317344">
            <w:pPr>
              <w:jc w:val="center"/>
              <w:rPr>
                <w:rFonts w:hint="eastAsia" w:ascii="仿宋" w:hAnsi="仿宋" w:eastAsia="仿宋" w:cs="仿宋"/>
                <w:sz w:val="24"/>
              </w:rPr>
            </w:pPr>
            <w:r>
              <w:rPr>
                <w:rFonts w:hint="eastAsia" w:ascii="仿宋" w:hAnsi="仿宋" w:eastAsia="仿宋" w:cs="仿宋"/>
                <w:sz w:val="24"/>
              </w:rPr>
              <w:t>25%</w:t>
            </w:r>
          </w:p>
        </w:tc>
        <w:tc>
          <w:tcPr>
            <w:tcW w:w="1748" w:type="dxa"/>
            <w:noWrap w:val="0"/>
            <w:vAlign w:val="center"/>
          </w:tcPr>
          <w:p w14:paraId="5BC4CED5">
            <w:pPr>
              <w:jc w:val="center"/>
              <w:rPr>
                <w:rFonts w:hint="eastAsia" w:ascii="仿宋" w:hAnsi="仿宋" w:eastAsia="仿宋" w:cs="仿宋"/>
                <w:sz w:val="24"/>
              </w:rPr>
            </w:pPr>
          </w:p>
        </w:tc>
      </w:tr>
    </w:tbl>
    <w:p w14:paraId="77A05651">
      <w:pPr>
        <w:widowControl/>
        <w:spacing w:line="580" w:lineRule="exact"/>
        <w:jc w:val="center"/>
        <w:rPr>
          <w:rFonts w:hint="eastAsia" w:ascii="仿宋" w:hAnsi="仿宋" w:eastAsia="仿宋" w:cs="仿宋"/>
          <w:b/>
          <w:sz w:val="36"/>
        </w:rPr>
      </w:pPr>
      <w:r>
        <w:rPr>
          <w:rFonts w:hint="eastAsia" w:ascii="仿宋" w:hAnsi="仿宋" w:eastAsia="仿宋" w:cs="仿宋"/>
          <w:sz w:val="30"/>
          <w:szCs w:val="30"/>
        </w:rPr>
        <w:br w:type="page"/>
      </w:r>
    </w:p>
    <w:p w14:paraId="0F031D21">
      <w:pPr>
        <w:keepNext w:val="0"/>
        <w:keepLines w:val="0"/>
        <w:pageBreakBefore w:val="0"/>
        <w:widowControl w:val="0"/>
        <w:spacing w:line="360" w:lineRule="auto"/>
        <w:ind w:firstLine="422"/>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cstheme="minorEastAsia"/>
          <w:b/>
          <w:bCs/>
          <w:color w:val="333333"/>
          <w:kern w:val="0"/>
          <w:sz w:val="24"/>
          <w:szCs w:val="24"/>
          <w:shd w:val="clear" w:color="auto" w:fill="FFFFFF"/>
          <w:lang w:val="en-US" w:eastAsia="zh-CN" w:bidi="ar-SA"/>
        </w:rPr>
        <w:t>（三）</w:t>
      </w:r>
      <w:r>
        <w:rPr>
          <w:rFonts w:hint="eastAsia" w:asciiTheme="minorEastAsia" w:hAnsiTheme="minorEastAsia" w:eastAsiaTheme="minorEastAsia" w:cstheme="minorEastAsia"/>
          <w:b/>
          <w:bCs/>
          <w:color w:val="333333"/>
          <w:kern w:val="0"/>
          <w:sz w:val="24"/>
          <w:szCs w:val="24"/>
          <w:shd w:val="clear" w:color="auto" w:fill="FFFFFF"/>
          <w:lang w:val="en-US" w:eastAsia="zh-CN" w:bidi="ar-SA"/>
        </w:rPr>
        <w:t>服务要求：</w:t>
      </w:r>
    </w:p>
    <w:p w14:paraId="6581070C">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1、保险范围：在我省渔业船舶(企业)登记机关登记的，从事渔业生产或为渔业生产服务的船舶或企业的所有人、经营人及承租人。</w:t>
      </w:r>
    </w:p>
    <w:p w14:paraId="5E335AD4">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2、保险服务：</w:t>
      </w:r>
    </w:p>
    <w:p w14:paraId="4C0B4DC7">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2.1对本采购项目须设立专项小组。</w:t>
      </w:r>
    </w:p>
    <w:p w14:paraId="05A880BB">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 xml:space="preserve">2.2根据相应文件内容，配合投保人完成核保与出单事宜，并在收到保费的次日生效保单并在5个工作日内将保单正本和保费发票派专人送达投保人。 </w:t>
      </w:r>
    </w:p>
    <w:p w14:paraId="444D3533">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3、承保服务：</w:t>
      </w:r>
    </w:p>
    <w:p w14:paraId="5EC5D081">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3.1指定专门的客服人员，接受各方咨询，解释相关保险内容。</w:t>
      </w:r>
    </w:p>
    <w:p w14:paraId="7A7EA89C">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3.2定期走访采购方，听取相关意见和建议，不断提高服务水平，为采购方分忧。</w:t>
      </w:r>
    </w:p>
    <w:p w14:paraId="5AECDACE">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3.3每季度按时向相关部门汇报上季度的理赔情况。</w:t>
      </w:r>
    </w:p>
    <w:p w14:paraId="2B4CF810">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4、理赔服务</w:t>
      </w:r>
    </w:p>
    <w:p w14:paraId="5818D068">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4.1保险服务基础标准：</w:t>
      </w:r>
    </w:p>
    <w:p w14:paraId="3BAB3657">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4.1.1统一实行24小时接报案；</w:t>
      </w:r>
    </w:p>
    <w:p w14:paraId="759C156F">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4.1.2统一实行24小时查勘；</w:t>
      </w:r>
    </w:p>
    <w:p w14:paraId="1ABE4B2E">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4.1.3统一实行24小时救援；</w:t>
      </w:r>
    </w:p>
    <w:p w14:paraId="753EE028">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4.1.4统一实行8小时全年无休理赔工作；</w:t>
      </w:r>
    </w:p>
    <w:p w14:paraId="6CE8B17C">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4.1.5统一实行24小时投诉服务；</w:t>
      </w:r>
    </w:p>
    <w:p w14:paraId="74C2FDA5">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 xml:space="preserve">4.1.6设立24小时保险服务专线电话，电脑录音系统和查勘调度系统保证畅通无误，及时准确。全年365天随时接受被保险人的出险报案，并立即通知保险公司本项目客户服务专员。               </w:t>
      </w:r>
    </w:p>
    <w:p w14:paraId="7A7D86FD">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4.2设立专人专门窗口负责受理赔款案件，实行一站式服务，确保理赔、财务、信息技术等环节的高效畅通。</w:t>
      </w:r>
    </w:p>
    <w:p w14:paraId="36F9E948">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4.3接到报案后应详细的告知被保险人注意事项，承保范围，保障内容及理赔时需要准备的材料等，不得欺骗、误导被保险人；</w:t>
      </w:r>
    </w:p>
    <w:p w14:paraId="3241CEE6">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4.4配合被保险人了解、熟悉理赔流程，指定专人上门收取索赔单证，并在约定的时间内上门收取，不得以任何理由拒绝上门服务。</w:t>
      </w:r>
    </w:p>
    <w:p w14:paraId="51AB4D50">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4.5保险公司上门收取理赔资料时，若认为有关证明或材料不完整，立刻以书面或口头方式通知被保险人需补充提供的有关证明或材料。若保险公司在接到索赔资料后1个工作日内未给予有关审核意见，则视为认可索赔资料的完整性。</w:t>
      </w:r>
    </w:p>
    <w:p w14:paraId="67BEB95F">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4.6在收到理赔材料后，简化理赔手续，应在规定时间内告知被保险人赔偿金额，除外金额或不予赔偿的理由，超过规定时间的，视为同意赔偿。</w:t>
      </w:r>
    </w:p>
    <w:p w14:paraId="486AAF66">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4.7接到被保险人报案后，对于属于保险责任的事故，同意按照以下约定及时确定赔偿金额：</w:t>
      </w:r>
    </w:p>
    <w:p w14:paraId="3AD799DC">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4.8对于不属于保险责任的，同意在接到被保险人赔偿请求后5个工作日内向其发出《拒赔通知书》。</w:t>
      </w:r>
    </w:p>
    <w:p w14:paraId="68D87D4F">
      <w:pPr>
        <w:keepNext w:val="0"/>
        <w:keepLines w:val="0"/>
        <w:pageBreakBefore w:val="0"/>
        <w:widowControl w:val="0"/>
        <w:spacing w:after="0" w:line="360" w:lineRule="auto"/>
        <w:ind w:left="0" w:firstLine="42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 xml:space="preserve">4.9对于不属于保险责任的，保险公司在接到被保险人赔偿请求后没有按规定时间向其发出《拒赔通知书》，则按保险责任处理。 </w:t>
      </w:r>
    </w:p>
    <w:p w14:paraId="4C6547EA">
      <w:pPr>
        <w:keepNext w:val="0"/>
        <w:keepLines w:val="0"/>
        <w:pageBreakBefore w:val="0"/>
        <w:widowControl w:val="0"/>
        <w:spacing w:line="360" w:lineRule="auto"/>
        <w:ind w:firstLine="422"/>
        <w:jc w:val="both"/>
        <w:rPr>
          <w:rFonts w:hint="eastAsia" w:asciiTheme="minorEastAsia" w:hAnsiTheme="minorEastAsia" w:eastAsiaTheme="minorEastAsia" w:cstheme="minorEastAsia"/>
          <w:b/>
          <w:bCs/>
          <w:color w:val="333333"/>
          <w:kern w:val="0"/>
          <w:sz w:val="24"/>
          <w:szCs w:val="24"/>
          <w:shd w:val="clear" w:color="auto" w:fill="FFFFFF"/>
          <w:lang w:val="en-US" w:eastAsia="zh-CN" w:bidi="ar-SA"/>
        </w:rPr>
      </w:pPr>
      <w:r>
        <w:rPr>
          <w:rFonts w:hint="eastAsia" w:asciiTheme="minorEastAsia" w:hAnsiTheme="minorEastAsia" w:cstheme="minorEastAsia"/>
          <w:b/>
          <w:bCs/>
          <w:color w:val="333333"/>
          <w:kern w:val="0"/>
          <w:sz w:val="24"/>
          <w:szCs w:val="24"/>
          <w:shd w:val="clear" w:color="auto" w:fill="FFFFFF"/>
          <w:lang w:val="en-US" w:eastAsia="zh-CN" w:bidi="ar-SA"/>
        </w:rPr>
        <w:t>（四）</w:t>
      </w:r>
      <w:r>
        <w:rPr>
          <w:rFonts w:hint="eastAsia" w:asciiTheme="minorEastAsia" w:hAnsiTheme="minorEastAsia" w:eastAsiaTheme="minorEastAsia" w:cstheme="minorEastAsia"/>
          <w:b/>
          <w:bCs/>
          <w:color w:val="333333"/>
          <w:kern w:val="0"/>
          <w:sz w:val="24"/>
          <w:szCs w:val="24"/>
          <w:shd w:val="clear" w:color="auto" w:fill="FFFFFF"/>
          <w:lang w:val="en-US" w:eastAsia="zh-CN" w:bidi="ar-SA"/>
        </w:rPr>
        <w:t>其他要求</w:t>
      </w:r>
    </w:p>
    <w:p w14:paraId="2A5F864C">
      <w:pPr>
        <w:keepNext w:val="0"/>
        <w:keepLines w:val="0"/>
        <w:pageBreakBefore w:val="0"/>
        <w:widowControl w:val="0"/>
        <w:numPr>
          <w:ilvl w:val="0"/>
          <w:numId w:val="0"/>
        </w:numPr>
        <w:tabs>
          <w:tab w:val="left" w:pos="567"/>
        </w:tabs>
        <w:spacing w:before="0" w:beforeAutospacing="0" w:afterAutospacing="0" w:line="360" w:lineRule="auto"/>
        <w:ind w:firstLine="420"/>
        <w:jc w:val="both"/>
        <w:outlineLvl w:val="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（一）项目验收：</w:t>
      </w:r>
    </w:p>
    <w:p w14:paraId="3D06F9E9">
      <w:pPr>
        <w:keepNext w:val="0"/>
        <w:keepLines w:val="0"/>
        <w:pageBreakBefore w:val="0"/>
        <w:widowControl w:val="0"/>
        <w:numPr>
          <w:ilvl w:val="0"/>
          <w:numId w:val="0"/>
        </w:numPr>
        <w:tabs>
          <w:tab w:val="left" w:pos="567"/>
        </w:tabs>
        <w:spacing w:before="0" w:beforeAutospacing="0" w:afterAutospacing="0" w:line="360" w:lineRule="auto"/>
        <w:ind w:firstLine="420"/>
        <w:jc w:val="both"/>
        <w:outlineLvl w:val="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1、验收组织方式：本项目由采购人组织进行验收。</w:t>
      </w:r>
    </w:p>
    <w:p w14:paraId="5F86584D">
      <w:pPr>
        <w:keepNext w:val="0"/>
        <w:keepLines w:val="0"/>
        <w:pageBreakBefore w:val="0"/>
        <w:widowControl w:val="0"/>
        <w:numPr>
          <w:ilvl w:val="0"/>
          <w:numId w:val="0"/>
        </w:numPr>
        <w:tabs>
          <w:tab w:val="left" w:pos="567"/>
        </w:tabs>
        <w:spacing w:before="0" w:beforeAutospacing="0" w:afterAutospacing="0" w:line="360" w:lineRule="auto"/>
        <w:ind w:firstLine="420"/>
        <w:jc w:val="both"/>
        <w:outlineLvl w:val="0"/>
        <w:rPr>
          <w:rFonts w:hint="eastAsia" w:asciiTheme="minorEastAsia" w:hAnsiTheme="minorEastAsia" w:eastAsiaTheme="minorEastAsia" w:cstheme="minorEastAsia"/>
          <w:color w:val="333333"/>
          <w:kern w:val="0"/>
          <w:sz w:val="24"/>
          <w:szCs w:val="24"/>
          <w:shd w:val="clear" w:color="auto" w:fill="FFFFFF"/>
          <w:lang w:val="en-US" w:eastAsia="zh-CN" w:bidi="ar-SA"/>
        </w:rPr>
      </w:pPr>
      <w:r>
        <w:rPr>
          <w:rFonts w:hint="eastAsia" w:asciiTheme="minorEastAsia" w:hAnsiTheme="minorEastAsia" w:eastAsiaTheme="minorEastAsia" w:cstheme="minorEastAsia"/>
          <w:color w:val="333333"/>
          <w:kern w:val="0"/>
          <w:sz w:val="24"/>
          <w:szCs w:val="24"/>
          <w:shd w:val="clear" w:color="auto" w:fill="FFFFFF"/>
          <w:lang w:val="en-US" w:eastAsia="zh-CN" w:bidi="ar-SA"/>
        </w:rPr>
        <w:t>2、履约验收标准：为保证本项目实施的科学性、规范性和准确性，履约验收必须严格遵照项目需求、国家有关法律、法规、规章制度以及国家和行业颁布的相关技术标准和规范。</w:t>
      </w:r>
    </w:p>
    <w:p w14:paraId="1F85F368">
      <w:pPr>
        <w:pStyle w:val="13"/>
        <w:spacing w:beforeAutospacing="0" w:afterAutospacing="0" w:line="360" w:lineRule="auto"/>
        <w:ind w:firstLine="480"/>
        <w:jc w:val="both"/>
        <w:rPr>
          <w:rFonts w:hint="eastAsia"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lang w:val="en-US" w:eastAsia="zh-CN"/>
        </w:rPr>
        <w:t>二</w:t>
      </w:r>
      <w:r>
        <w:rPr>
          <w:rFonts w:hint="eastAsia" w:asciiTheme="minorEastAsia" w:hAnsiTheme="minorEastAsia" w:cstheme="minorEastAsia"/>
          <w:b/>
          <w:bCs/>
          <w:color w:val="333333"/>
          <w:shd w:val="clear" w:color="auto" w:fill="FFFFFF"/>
        </w:rPr>
        <w:t>、合同履行期限及地点：</w:t>
      </w:r>
    </w:p>
    <w:p w14:paraId="6D66B2A1">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eastAsia="zh-CN"/>
        </w:rPr>
      </w:pPr>
      <w:r>
        <w:rPr>
          <w:rFonts w:hint="eastAsia" w:asciiTheme="minorEastAsia" w:hAnsiTheme="minorEastAsia" w:cstheme="minorEastAsia"/>
          <w:color w:val="333333"/>
          <w:shd w:val="clear" w:color="auto" w:fill="FFFFFF"/>
        </w:rPr>
        <w:t>合同履行期限：</w:t>
      </w:r>
      <w:r>
        <w:rPr>
          <w:rFonts w:hint="eastAsia" w:asciiTheme="minorEastAsia" w:hAnsiTheme="minorEastAsia" w:cstheme="minorEastAsia"/>
          <w:color w:val="333333"/>
          <w:shd w:val="clear" w:color="auto" w:fill="FFFFFF"/>
          <w:lang w:eastAsia="zh-CN"/>
        </w:rPr>
        <w:t>中标单位与采购方签订合同后，</w:t>
      </w:r>
      <w:r>
        <w:rPr>
          <w:rFonts w:hint="eastAsia" w:asciiTheme="minorEastAsia" w:hAnsiTheme="minorEastAsia" w:cstheme="minorEastAsia"/>
          <w:color w:val="333333"/>
          <w:shd w:val="clear" w:color="auto" w:fill="FFFFFF"/>
          <w:lang w:val="en-US" w:eastAsia="zh-CN"/>
        </w:rPr>
        <w:t>履约期限为</w:t>
      </w:r>
      <w:r>
        <w:rPr>
          <w:rFonts w:hint="eastAsia" w:asciiTheme="minorEastAsia" w:hAnsiTheme="minorEastAsia" w:cstheme="minorEastAsia"/>
          <w:color w:val="333333"/>
          <w:shd w:val="clear" w:color="auto" w:fill="FFFFFF"/>
          <w:lang w:eastAsia="zh-CN"/>
        </w:rPr>
        <w:t>一年。</w:t>
      </w:r>
    </w:p>
    <w:p w14:paraId="7AD2E77C">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地点：采购方指定地点。</w:t>
      </w:r>
    </w:p>
    <w:p w14:paraId="53C26CF6">
      <w:pPr>
        <w:pStyle w:val="13"/>
        <w:spacing w:beforeAutospacing="0" w:afterAutospacing="0" w:line="360" w:lineRule="auto"/>
        <w:ind w:firstLine="480"/>
        <w:jc w:val="both"/>
        <w:rPr>
          <w:rFonts w:hint="eastAsia" w:asciiTheme="minorEastAsia" w:hAnsiTheme="minorEastAsia" w:cstheme="minorEastAsia"/>
          <w:b/>
          <w:bCs/>
          <w:color w:val="333333"/>
          <w:shd w:val="clear" w:color="auto" w:fill="FFFFFF"/>
        </w:rPr>
      </w:pPr>
      <w:r>
        <w:rPr>
          <w:rFonts w:hint="eastAsia" w:asciiTheme="minorEastAsia" w:hAnsiTheme="minorEastAsia" w:cstheme="minorEastAsia"/>
          <w:b/>
          <w:bCs/>
          <w:color w:val="333333"/>
          <w:shd w:val="clear" w:color="auto" w:fill="FFFFFF"/>
          <w:lang w:val="en-US" w:eastAsia="zh-CN"/>
        </w:rPr>
        <w:t>三</w:t>
      </w:r>
      <w:r>
        <w:rPr>
          <w:rFonts w:hint="eastAsia" w:asciiTheme="minorEastAsia" w:hAnsiTheme="minorEastAsia" w:cstheme="minorEastAsia"/>
          <w:b/>
          <w:bCs/>
          <w:color w:val="333333"/>
          <w:shd w:val="clear" w:color="auto" w:fill="FFFFFF"/>
        </w:rPr>
        <w:t xml:space="preserve">、付款方式: </w:t>
      </w:r>
    </w:p>
    <w:p w14:paraId="34DF3F9E">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rPr>
      </w:pPr>
      <w:r>
        <w:rPr>
          <w:rFonts w:hint="eastAsia" w:asciiTheme="minorEastAsia" w:hAnsiTheme="minorEastAsia" w:cstheme="minorEastAsia"/>
          <w:color w:val="333333"/>
          <w:shd w:val="clear" w:color="auto" w:fill="FFFFFF"/>
        </w:rPr>
        <w:t>1.本项目落实预付款制度，预付款比例为30%，采购单位在收到发票后 10个工作日内将预付款支付到合同约定的中标单位账户（在签订合同时，中标、成交供应商明确书面表示无需预付款或者主动要求降低预付款比例的，采购人可就预付款比例作相应调整）。</w:t>
      </w:r>
    </w:p>
    <w:p w14:paraId="6C5B53FD">
      <w:pPr>
        <w:pStyle w:val="13"/>
        <w:spacing w:beforeAutospacing="0" w:afterAutospacing="0" w:line="360" w:lineRule="auto"/>
        <w:ind w:firstLine="480"/>
        <w:jc w:val="both"/>
        <w:rPr>
          <w:rFonts w:hint="eastAsia" w:asciiTheme="minorEastAsia" w:hAnsiTheme="minorEastAsia" w:cstheme="minorEastAsia"/>
          <w:color w:val="333333"/>
          <w:shd w:val="clear" w:color="auto" w:fill="FFFFFF"/>
          <w:lang w:val="en-US" w:eastAsia="zh-CN"/>
        </w:rPr>
      </w:pPr>
      <w:r>
        <w:rPr>
          <w:rFonts w:hint="eastAsia" w:asciiTheme="minorEastAsia" w:hAnsiTheme="minorEastAsia" w:cstheme="minorEastAsia"/>
          <w:color w:val="333333"/>
          <w:shd w:val="clear" w:color="auto" w:fill="FFFFFF"/>
        </w:rPr>
        <w:t>2.</w:t>
      </w:r>
      <w:r>
        <w:rPr>
          <w:rFonts w:hint="eastAsia" w:asciiTheme="minorEastAsia" w:hAnsiTheme="minorEastAsia" w:cstheme="minorEastAsia"/>
          <w:color w:val="333333"/>
          <w:shd w:val="clear" w:color="auto" w:fill="FFFFFF"/>
          <w:lang w:eastAsia="zh-CN"/>
        </w:rPr>
        <w:t>具体</w:t>
      </w:r>
      <w:r>
        <w:rPr>
          <w:rFonts w:hint="eastAsia" w:asciiTheme="minorEastAsia" w:hAnsiTheme="minorEastAsia" w:cstheme="minorEastAsia"/>
          <w:color w:val="333333"/>
          <w:shd w:val="clear" w:color="auto" w:fill="FFFFFF"/>
          <w:lang w:val="en-US" w:eastAsia="zh-CN"/>
        </w:rPr>
        <w:t>支付</w:t>
      </w:r>
      <w:r>
        <w:rPr>
          <w:rFonts w:hint="eastAsia" w:asciiTheme="minorEastAsia" w:hAnsiTheme="minorEastAsia" w:cstheme="minorEastAsia"/>
          <w:color w:val="333333"/>
          <w:shd w:val="clear" w:color="auto" w:fill="FFFFFF"/>
          <w:lang w:eastAsia="zh-CN"/>
        </w:rPr>
        <w:t>金额根据实际投保人数按实结算。</w:t>
      </w:r>
    </w:p>
    <w:p w14:paraId="5B8C5F08">
      <w:pPr>
        <w:pStyle w:val="13"/>
        <w:spacing w:beforeAutospacing="0" w:afterAutospacing="0" w:line="460" w:lineRule="exact"/>
        <w:ind w:firstLine="480"/>
        <w:jc w:val="both"/>
        <w:rPr>
          <w:rFonts w:ascii="宋体" w:hAnsi="宋体" w:eastAsia="宋体" w:cs="宋体"/>
          <w:color w:val="000000"/>
          <w:sz w:val="28"/>
          <w:szCs w:val="28"/>
        </w:rPr>
      </w:pPr>
      <w:r>
        <w:rPr>
          <w:rFonts w:hint="eastAsia" w:ascii="宋体" w:hAnsi="宋体" w:eastAsia="宋体" w:cs="宋体"/>
          <w:color w:val="000000"/>
          <w:sz w:val="28"/>
          <w:szCs w:val="28"/>
        </w:rPr>
        <w:t>我公司承诺响应上述项目需求内容。</w:t>
      </w:r>
    </w:p>
    <w:p w14:paraId="333EC210">
      <w:pPr>
        <w:autoSpaceDE w:val="0"/>
        <w:autoSpaceDN w:val="0"/>
        <w:spacing w:line="560" w:lineRule="exact"/>
        <w:ind w:firstLine="2835" w:firstLineChars="1350"/>
        <w:jc w:val="right"/>
        <w:rPr>
          <w:rFonts w:hAnsi="宋体"/>
          <w:bCs/>
          <w:szCs w:val="28"/>
        </w:rPr>
      </w:pPr>
      <w:r>
        <w:rPr>
          <w:rFonts w:hint="eastAsia" w:hAnsi="宋体"/>
          <w:bCs/>
          <w:szCs w:val="28"/>
        </w:rPr>
        <w:t>投标人</w:t>
      </w:r>
      <w:r>
        <w:rPr>
          <w:rFonts w:hint="eastAsia" w:ascii="宋体" w:hAnsi="宋体"/>
          <w:color w:val="000000"/>
          <w:sz w:val="24"/>
        </w:rPr>
        <w:t>（加盖CA电子签章）</w:t>
      </w:r>
      <w:r>
        <w:rPr>
          <w:rFonts w:hint="eastAsia" w:hAnsi="宋体"/>
          <w:bCs/>
          <w:szCs w:val="28"/>
        </w:rPr>
        <w:t>：</w:t>
      </w:r>
    </w:p>
    <w:p w14:paraId="5AF4249D">
      <w:pPr>
        <w:pStyle w:val="7"/>
        <w:spacing w:line="560" w:lineRule="exact"/>
        <w:ind w:left="0" w:right="0" w:firstLine="4340" w:firstLineChars="1550"/>
        <w:jc w:val="right"/>
        <w:rPr>
          <w:rFonts w:hAnsi="宋体"/>
          <w:bCs/>
          <w:sz w:val="28"/>
        </w:rPr>
      </w:pPr>
      <w:r>
        <w:rPr>
          <w:rFonts w:hint="eastAsia" w:hAnsi="宋体"/>
          <w:bCs/>
          <w:sz w:val="28"/>
        </w:rPr>
        <w:t>日期：年月日</w:t>
      </w:r>
    </w:p>
    <w:p w14:paraId="4BC47D1E">
      <w:pPr>
        <w:pStyle w:val="13"/>
        <w:spacing w:beforeAutospacing="0" w:afterAutospacing="0"/>
        <w:jc w:val="both"/>
      </w:pPr>
    </w:p>
    <w:p w14:paraId="01E6E60C">
      <w:pPr>
        <w:pStyle w:val="13"/>
        <w:spacing w:beforeAutospacing="0" w:afterAutospacing="0"/>
        <w:jc w:val="both"/>
      </w:pPr>
      <w:r>
        <w:rPr>
          <w:rFonts w:hint="eastAsia" w:ascii="黑体" w:hAnsi="宋体" w:eastAsia="黑体" w:cs="黑体"/>
          <w:b/>
          <w:i/>
          <w:color w:val="000000"/>
          <w:sz w:val="32"/>
          <w:szCs w:val="32"/>
          <w:u w:val="single"/>
        </w:rPr>
        <w:t>十三、开标一览表</w:t>
      </w:r>
    </w:p>
    <w:p w14:paraId="2599EE31">
      <w:pPr>
        <w:pStyle w:val="13"/>
        <w:spacing w:beforeAutospacing="0" w:afterAutospacing="0"/>
        <w:ind w:firstLine="480"/>
        <w:jc w:val="both"/>
      </w:pPr>
      <w:r>
        <w:rPr>
          <w:rFonts w:hint="eastAsia" w:ascii="宋体" w:hAnsi="宋体" w:eastAsia="宋体" w:cs="宋体"/>
          <w:color w:val="000000"/>
        </w:rPr>
        <w:t>投标人全称（加盖CA电子签章）：</w:t>
      </w:r>
    </w:p>
    <w:p w14:paraId="0BF80229">
      <w:pPr>
        <w:pStyle w:val="13"/>
        <w:spacing w:beforeAutospacing="0" w:afterAutospacing="0"/>
        <w:ind w:firstLine="480"/>
        <w:jc w:val="both"/>
      </w:pPr>
      <w:r>
        <w:rPr>
          <w:rFonts w:hint="eastAsia" w:ascii="宋体" w:hAnsi="宋体" w:eastAsia="宋体" w:cs="宋体"/>
          <w:color w:val="000000"/>
        </w:rPr>
        <w:t>项目名称：</w:t>
      </w:r>
    </w:p>
    <w:p w14:paraId="0A263172">
      <w:pPr>
        <w:pStyle w:val="13"/>
        <w:spacing w:beforeAutospacing="0" w:afterAutospacing="0"/>
        <w:ind w:firstLine="480"/>
        <w:jc w:val="both"/>
      </w:pPr>
      <w:r>
        <w:rPr>
          <w:rFonts w:hint="eastAsia" w:ascii="宋体" w:hAnsi="宋体" w:eastAsia="宋体" w:cs="宋体"/>
          <w:color w:val="000000"/>
        </w:rPr>
        <w:t>招标编号：                                 </w:t>
      </w:r>
    </w:p>
    <w:tbl>
      <w:tblPr>
        <w:tblStyle w:val="16"/>
        <w:tblW w:w="8206" w:type="dxa"/>
        <w:tblCellSpacing w:w="0" w:type="dxa"/>
        <w:tblInd w:w="118" w:type="dxa"/>
        <w:tblLayout w:type="fixed"/>
        <w:tblCellMar>
          <w:top w:w="0" w:type="dxa"/>
          <w:left w:w="108" w:type="dxa"/>
          <w:bottom w:w="0" w:type="dxa"/>
          <w:right w:w="108" w:type="dxa"/>
        </w:tblCellMar>
      </w:tblPr>
      <w:tblGrid>
        <w:gridCol w:w="8206"/>
      </w:tblGrid>
      <w:tr w14:paraId="5C7E0E92">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7EBE7">
            <w:pPr>
              <w:pStyle w:val="13"/>
              <w:spacing w:beforeAutospacing="0" w:afterAutospacing="0"/>
              <w:jc w:val="both"/>
            </w:pPr>
            <w:r>
              <w:rPr>
                <w:rFonts w:hint="eastAsia" w:ascii="宋体" w:hAnsi="宋体" w:eastAsia="宋体" w:cs="宋体"/>
                <w:color w:val="000000"/>
              </w:rPr>
              <w:t>                      投标</w:t>
            </w:r>
            <w:r>
              <w:rPr>
                <w:rFonts w:hint="eastAsia" w:ascii="宋体" w:hAnsi="宋体" w:eastAsia="宋体" w:cs="宋体"/>
                <w:color w:val="000000"/>
                <w:lang w:val="en-US" w:eastAsia="zh-CN"/>
              </w:rPr>
              <w:t>单价</w:t>
            </w:r>
            <w:r>
              <w:rPr>
                <w:rFonts w:hint="eastAsia" w:ascii="宋体" w:hAnsi="宋体" w:eastAsia="宋体" w:cs="宋体"/>
                <w:color w:val="000000"/>
              </w:rPr>
              <w:t>报价</w:t>
            </w:r>
          </w:p>
        </w:tc>
      </w:tr>
      <w:tr w14:paraId="4A46E74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77A63">
            <w:pPr>
              <w:pStyle w:val="13"/>
              <w:spacing w:beforeAutospacing="0" w:afterAutospacing="0" w:line="0" w:lineRule="atLeast"/>
              <w:rPr>
                <w:rFonts w:eastAsia="宋体"/>
              </w:rPr>
            </w:pPr>
            <w:r>
              <w:rPr>
                <w:rFonts w:hint="eastAsia" w:ascii="宋体" w:hAnsi="宋体" w:eastAsia="宋体" w:cs="宋体"/>
                <w:color w:val="000000"/>
              </w:rPr>
              <w:t>小写：        （人民币：元）</w:t>
            </w:r>
          </w:p>
        </w:tc>
      </w:tr>
    </w:tbl>
    <w:p w14:paraId="2620C891">
      <w:pPr>
        <w:pStyle w:val="13"/>
        <w:spacing w:beforeAutospacing="0" w:afterAutospacing="0"/>
        <w:jc w:val="both"/>
      </w:pPr>
      <w:r>
        <w:t> </w:t>
      </w:r>
    </w:p>
    <w:p w14:paraId="1B456129">
      <w:pPr>
        <w:pStyle w:val="13"/>
        <w:spacing w:beforeAutospacing="0" w:afterAutospacing="0"/>
        <w:ind w:firstLine="480"/>
        <w:jc w:val="both"/>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年</w:t>
      </w:r>
      <w:r>
        <w:rPr>
          <w:rFonts w:hint="eastAsia" w:ascii="宋体" w:hAnsi="宋体" w:eastAsia="宋体" w:cs="宋体"/>
          <w:color w:val="000000"/>
          <w:u w:val="single"/>
        </w:rPr>
        <w:t xml:space="preserve">   </w:t>
      </w:r>
      <w:r>
        <w:rPr>
          <w:rFonts w:hint="eastAsia" w:ascii="宋体" w:hAnsi="宋体" w:eastAsia="宋体" w:cs="宋体"/>
          <w:color w:val="000000"/>
        </w:rPr>
        <w:t>月</w:t>
      </w:r>
      <w:r>
        <w:rPr>
          <w:rFonts w:hint="eastAsia" w:ascii="宋体" w:hAnsi="宋体" w:eastAsia="宋体" w:cs="宋体"/>
          <w:color w:val="000000"/>
          <w:u w:val="single"/>
        </w:rPr>
        <w:t xml:space="preserve">   </w:t>
      </w:r>
      <w:r>
        <w:rPr>
          <w:rFonts w:hint="eastAsia" w:ascii="宋体" w:hAnsi="宋体" w:eastAsia="宋体" w:cs="宋体"/>
          <w:color w:val="000000"/>
        </w:rPr>
        <w:t>日</w:t>
      </w:r>
    </w:p>
    <w:p w14:paraId="1982DA21">
      <w:pPr>
        <w:pStyle w:val="13"/>
        <w:spacing w:beforeAutospacing="0" w:afterAutospacing="0"/>
        <w:ind w:firstLine="480"/>
        <w:jc w:val="both"/>
      </w:pPr>
      <w:r>
        <w:t> </w:t>
      </w:r>
    </w:p>
    <w:p w14:paraId="2D432A9A">
      <w:pPr>
        <w:widowControl/>
        <w:spacing w:before="50" w:after="50"/>
        <w:jc w:val="center"/>
      </w:pPr>
      <w:r>
        <w:tab/>
      </w:r>
    </w:p>
    <w:p w14:paraId="2908BFE9">
      <w:pPr>
        <w:widowControl/>
        <w:spacing w:before="50" w:after="50"/>
        <w:jc w:val="center"/>
      </w:pPr>
    </w:p>
    <w:p w14:paraId="7937B267">
      <w:pPr>
        <w:widowControl/>
        <w:spacing w:before="50" w:after="50"/>
        <w:jc w:val="center"/>
      </w:pPr>
    </w:p>
    <w:p w14:paraId="7F09686A">
      <w:pPr>
        <w:widowControl/>
        <w:spacing w:before="50" w:after="50"/>
        <w:jc w:val="center"/>
        <w:rPr>
          <w:rFonts w:hint="eastAsia" w:ascii="黑体" w:hAnsi="宋体" w:eastAsia="黑体" w:cs="黑体"/>
          <w:b/>
          <w:iCs/>
          <w:color w:val="000000"/>
          <w:kern w:val="0"/>
          <w:sz w:val="32"/>
          <w:szCs w:val="32"/>
        </w:rPr>
      </w:pPr>
    </w:p>
    <w:p w14:paraId="24D80FBF">
      <w:pPr>
        <w:widowControl/>
        <w:spacing w:before="50" w:after="50"/>
        <w:jc w:val="center"/>
        <w:rPr>
          <w:rFonts w:hint="eastAsia" w:ascii="黑体" w:hAnsi="宋体" w:eastAsia="黑体" w:cs="黑体"/>
          <w:b/>
          <w:iCs/>
          <w:color w:val="000000"/>
          <w:kern w:val="0"/>
          <w:sz w:val="32"/>
          <w:szCs w:val="32"/>
        </w:rPr>
      </w:pPr>
    </w:p>
    <w:p w14:paraId="4F148945">
      <w:pPr>
        <w:widowControl/>
        <w:spacing w:before="50" w:after="50"/>
        <w:jc w:val="center"/>
        <w:rPr>
          <w:rFonts w:hint="eastAsia" w:ascii="黑体" w:hAnsi="宋体" w:eastAsia="黑体" w:cs="黑体"/>
          <w:b/>
          <w:iCs/>
          <w:color w:val="000000"/>
          <w:kern w:val="0"/>
          <w:sz w:val="32"/>
          <w:szCs w:val="32"/>
        </w:rPr>
      </w:pPr>
    </w:p>
    <w:p w14:paraId="22178F5F">
      <w:pPr>
        <w:widowControl/>
        <w:spacing w:before="50" w:after="50"/>
        <w:jc w:val="center"/>
        <w:rPr>
          <w:rFonts w:hint="eastAsia" w:ascii="黑体" w:hAnsi="宋体" w:eastAsia="黑体" w:cs="黑体"/>
          <w:b/>
          <w:iCs/>
          <w:color w:val="000000"/>
          <w:kern w:val="0"/>
          <w:sz w:val="32"/>
          <w:szCs w:val="32"/>
        </w:rPr>
      </w:pPr>
    </w:p>
    <w:p w14:paraId="0003562E">
      <w:pPr>
        <w:widowControl/>
        <w:spacing w:before="50" w:after="50"/>
        <w:jc w:val="center"/>
        <w:rPr>
          <w:rFonts w:hint="eastAsia" w:ascii="黑体" w:hAnsi="宋体" w:eastAsia="黑体" w:cs="黑体"/>
          <w:b/>
          <w:iCs/>
          <w:color w:val="000000"/>
          <w:kern w:val="0"/>
          <w:sz w:val="32"/>
          <w:szCs w:val="32"/>
        </w:rPr>
      </w:pPr>
    </w:p>
    <w:p w14:paraId="7B301851">
      <w:pPr>
        <w:widowControl/>
        <w:spacing w:before="50" w:after="50"/>
        <w:jc w:val="center"/>
        <w:rPr>
          <w:rFonts w:hint="eastAsia" w:ascii="黑体" w:hAnsi="宋体" w:eastAsia="黑体" w:cs="黑体"/>
          <w:b/>
          <w:iCs/>
          <w:color w:val="000000"/>
          <w:kern w:val="0"/>
          <w:sz w:val="32"/>
          <w:szCs w:val="32"/>
        </w:rPr>
      </w:pPr>
    </w:p>
    <w:p w14:paraId="7494EAC7">
      <w:pPr>
        <w:widowControl/>
        <w:spacing w:before="50" w:after="50"/>
        <w:jc w:val="center"/>
        <w:rPr>
          <w:rFonts w:hint="eastAsia" w:ascii="黑体" w:hAnsi="宋体" w:eastAsia="黑体" w:cs="黑体"/>
          <w:b/>
          <w:iCs/>
          <w:color w:val="000000"/>
          <w:kern w:val="0"/>
          <w:sz w:val="32"/>
          <w:szCs w:val="32"/>
        </w:rPr>
      </w:pPr>
    </w:p>
    <w:p w14:paraId="4C978611">
      <w:pPr>
        <w:widowControl/>
        <w:spacing w:before="50" w:after="50"/>
        <w:jc w:val="center"/>
        <w:rPr>
          <w:rFonts w:hint="eastAsia" w:ascii="黑体" w:hAnsi="宋体" w:eastAsia="黑体" w:cs="黑体"/>
          <w:b/>
          <w:iCs/>
          <w:color w:val="000000"/>
          <w:kern w:val="0"/>
          <w:sz w:val="32"/>
          <w:szCs w:val="32"/>
        </w:rPr>
      </w:pPr>
    </w:p>
    <w:p w14:paraId="3DE49D82">
      <w:pPr>
        <w:widowControl/>
        <w:spacing w:before="50" w:after="50"/>
        <w:jc w:val="center"/>
        <w:rPr>
          <w:rFonts w:hint="eastAsia" w:ascii="黑体" w:hAnsi="宋体" w:eastAsia="黑体" w:cs="黑体"/>
          <w:b/>
          <w:iCs/>
          <w:color w:val="000000"/>
          <w:kern w:val="0"/>
          <w:sz w:val="32"/>
          <w:szCs w:val="32"/>
        </w:rPr>
      </w:pPr>
    </w:p>
    <w:p w14:paraId="3BCC1A82">
      <w:pPr>
        <w:widowControl/>
        <w:spacing w:before="50" w:after="50"/>
        <w:jc w:val="center"/>
        <w:rPr>
          <w:rFonts w:hint="eastAsia" w:ascii="黑体" w:hAnsi="宋体" w:eastAsia="黑体" w:cs="黑体"/>
          <w:b/>
          <w:iCs/>
          <w:color w:val="000000"/>
          <w:kern w:val="0"/>
          <w:sz w:val="32"/>
          <w:szCs w:val="32"/>
        </w:rPr>
      </w:pPr>
    </w:p>
    <w:p w14:paraId="7569BD1B">
      <w:pPr>
        <w:widowControl/>
        <w:spacing w:before="50" w:after="50"/>
        <w:jc w:val="center"/>
        <w:rPr>
          <w:rFonts w:ascii="黑体" w:hAnsi="宋体" w:eastAsia="黑体" w:cs="黑体"/>
          <w:b/>
          <w:iCs/>
          <w:color w:val="000000"/>
          <w:kern w:val="0"/>
          <w:sz w:val="32"/>
          <w:szCs w:val="32"/>
        </w:rPr>
      </w:pPr>
      <w:r>
        <w:rPr>
          <w:rFonts w:hint="eastAsia" w:ascii="黑体" w:hAnsi="宋体" w:eastAsia="黑体" w:cs="黑体"/>
          <w:b/>
          <w:iCs/>
          <w:color w:val="000000"/>
          <w:kern w:val="0"/>
          <w:sz w:val="32"/>
          <w:szCs w:val="32"/>
        </w:rPr>
        <w:t>十四、服务方案等</w:t>
      </w:r>
    </w:p>
    <w:p w14:paraId="5C3EEEC1">
      <w:pPr>
        <w:pStyle w:val="3"/>
        <w:ind w:firstLine="2570" w:firstLineChars="800"/>
        <w:rPr>
          <w:rFonts w:hint="default" w:ascii="黑体" w:eastAsia="黑体" w:cs="黑体"/>
          <w:bCs w:val="0"/>
          <w:iCs/>
          <w:color w:val="000000"/>
          <w:sz w:val="32"/>
          <w:szCs w:val="32"/>
        </w:rPr>
      </w:pPr>
      <w:r>
        <w:rPr>
          <w:rFonts w:ascii="黑体" w:eastAsia="黑体" w:cs="黑体"/>
          <w:bCs w:val="0"/>
          <w:iCs/>
          <w:color w:val="000000"/>
          <w:sz w:val="32"/>
          <w:szCs w:val="32"/>
        </w:rPr>
        <w:t>十五、投标人类似业绩项目一览表</w:t>
      </w:r>
    </w:p>
    <w:tbl>
      <w:tblPr>
        <w:tblStyle w:val="16"/>
        <w:tblW w:w="98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1210"/>
        <w:gridCol w:w="1680"/>
        <w:gridCol w:w="1241"/>
        <w:gridCol w:w="1878"/>
        <w:gridCol w:w="2036"/>
        <w:gridCol w:w="1764"/>
      </w:tblGrid>
      <w:tr w14:paraId="2FFE90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1210" w:type="dxa"/>
            <w:tcBorders>
              <w:top w:val="single" w:color="auto" w:sz="6" w:space="0"/>
              <w:left w:val="single" w:color="auto" w:sz="6" w:space="0"/>
              <w:bottom w:val="single" w:color="auto" w:sz="6" w:space="0"/>
              <w:right w:val="single" w:color="auto" w:sz="6" w:space="0"/>
            </w:tcBorders>
            <w:vAlign w:val="center"/>
          </w:tcPr>
          <w:p w14:paraId="4B35068B">
            <w:pPr>
              <w:pStyle w:val="13"/>
              <w:overflowPunct w:val="0"/>
              <w:jc w:val="center"/>
              <w:rPr>
                <w:bCs/>
                <w:szCs w:val="28"/>
              </w:rPr>
            </w:pPr>
            <w:r>
              <w:rPr>
                <w:rFonts w:hint="eastAsia"/>
                <w:bCs/>
                <w:szCs w:val="28"/>
              </w:rPr>
              <w:t>序号</w:t>
            </w:r>
          </w:p>
        </w:tc>
        <w:tc>
          <w:tcPr>
            <w:tcW w:w="1680" w:type="dxa"/>
            <w:tcBorders>
              <w:top w:val="single" w:color="auto" w:sz="6" w:space="0"/>
              <w:left w:val="single" w:color="auto" w:sz="6" w:space="0"/>
              <w:bottom w:val="single" w:color="auto" w:sz="6" w:space="0"/>
              <w:right w:val="single" w:color="auto" w:sz="6" w:space="0"/>
            </w:tcBorders>
            <w:vAlign w:val="center"/>
          </w:tcPr>
          <w:p w14:paraId="41543B18">
            <w:pPr>
              <w:pStyle w:val="13"/>
              <w:overflowPunct w:val="0"/>
              <w:jc w:val="center"/>
              <w:rPr>
                <w:bCs/>
                <w:szCs w:val="28"/>
              </w:rPr>
            </w:pPr>
            <w:r>
              <w:rPr>
                <w:rFonts w:hint="eastAsia"/>
                <w:bCs/>
                <w:szCs w:val="28"/>
              </w:rPr>
              <w:t>项目名称</w:t>
            </w:r>
          </w:p>
        </w:tc>
        <w:tc>
          <w:tcPr>
            <w:tcW w:w="1241" w:type="dxa"/>
            <w:tcBorders>
              <w:top w:val="single" w:color="auto" w:sz="6" w:space="0"/>
              <w:left w:val="single" w:color="auto" w:sz="6" w:space="0"/>
              <w:bottom w:val="single" w:color="auto" w:sz="6" w:space="0"/>
              <w:right w:val="single" w:color="auto" w:sz="6" w:space="0"/>
            </w:tcBorders>
            <w:vAlign w:val="center"/>
          </w:tcPr>
          <w:p w14:paraId="60F94D68">
            <w:pPr>
              <w:pStyle w:val="13"/>
              <w:overflowPunct w:val="0"/>
              <w:jc w:val="center"/>
              <w:rPr>
                <w:bCs/>
                <w:szCs w:val="28"/>
              </w:rPr>
            </w:pPr>
            <w:r>
              <w:rPr>
                <w:rFonts w:hint="eastAsia"/>
                <w:bCs/>
                <w:szCs w:val="28"/>
              </w:rPr>
              <w:t>合同期</w:t>
            </w:r>
          </w:p>
        </w:tc>
        <w:tc>
          <w:tcPr>
            <w:tcW w:w="1878" w:type="dxa"/>
            <w:tcBorders>
              <w:top w:val="single" w:color="auto" w:sz="6" w:space="0"/>
              <w:left w:val="single" w:color="auto" w:sz="6" w:space="0"/>
              <w:bottom w:val="single" w:color="auto" w:sz="6" w:space="0"/>
              <w:right w:val="single" w:color="auto" w:sz="4" w:space="0"/>
            </w:tcBorders>
            <w:vAlign w:val="center"/>
          </w:tcPr>
          <w:p w14:paraId="738A37C5">
            <w:pPr>
              <w:pStyle w:val="13"/>
              <w:overflowPunct w:val="0"/>
              <w:jc w:val="center"/>
              <w:rPr>
                <w:bCs/>
                <w:szCs w:val="28"/>
              </w:rPr>
            </w:pPr>
            <w:r>
              <w:rPr>
                <w:rFonts w:hint="eastAsia"/>
                <w:bCs/>
                <w:szCs w:val="28"/>
              </w:rPr>
              <w:t>范围</w:t>
            </w:r>
          </w:p>
        </w:tc>
        <w:tc>
          <w:tcPr>
            <w:tcW w:w="2036" w:type="dxa"/>
            <w:tcBorders>
              <w:top w:val="single" w:color="auto" w:sz="6" w:space="0"/>
              <w:left w:val="single" w:color="auto" w:sz="4" w:space="0"/>
              <w:bottom w:val="single" w:color="auto" w:sz="6" w:space="0"/>
              <w:right w:val="single" w:color="auto" w:sz="4" w:space="0"/>
            </w:tcBorders>
            <w:vAlign w:val="center"/>
          </w:tcPr>
          <w:p w14:paraId="0E4E7C4B">
            <w:pPr>
              <w:pStyle w:val="13"/>
              <w:overflowPunct w:val="0"/>
              <w:rPr>
                <w:bCs/>
                <w:szCs w:val="28"/>
              </w:rPr>
            </w:pPr>
            <w:r>
              <w:rPr>
                <w:rFonts w:hint="eastAsia"/>
                <w:bCs/>
                <w:szCs w:val="28"/>
              </w:rPr>
              <w:t>合同金额（万元）</w:t>
            </w:r>
          </w:p>
        </w:tc>
        <w:tc>
          <w:tcPr>
            <w:tcW w:w="1764" w:type="dxa"/>
            <w:tcBorders>
              <w:top w:val="single" w:color="auto" w:sz="6" w:space="0"/>
              <w:left w:val="single" w:color="auto" w:sz="6" w:space="0"/>
              <w:bottom w:val="single" w:color="auto" w:sz="6" w:space="0"/>
              <w:right w:val="single" w:color="auto" w:sz="6" w:space="0"/>
            </w:tcBorders>
            <w:vAlign w:val="center"/>
          </w:tcPr>
          <w:p w14:paraId="6C2AA036">
            <w:pPr>
              <w:pStyle w:val="13"/>
              <w:overflowPunct w:val="0"/>
              <w:ind w:firstLine="480" w:firstLineChars="200"/>
              <w:jc w:val="center"/>
              <w:rPr>
                <w:bCs/>
                <w:szCs w:val="28"/>
              </w:rPr>
            </w:pPr>
            <w:r>
              <w:rPr>
                <w:rFonts w:hint="eastAsia"/>
                <w:bCs/>
                <w:szCs w:val="28"/>
              </w:rPr>
              <w:t>备注</w:t>
            </w:r>
          </w:p>
        </w:tc>
      </w:tr>
      <w:tr w14:paraId="3B99559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5785C7F1">
            <w:pPr>
              <w:pStyle w:val="13"/>
              <w:overflowPunct w:val="0"/>
              <w:ind w:firstLine="480" w:firstLineChars="200"/>
              <w:rPr>
                <w:bCs/>
                <w:szCs w:val="28"/>
              </w:rPr>
            </w:pPr>
            <w:r>
              <w:rPr>
                <w:rFonts w:hint="eastAsia"/>
                <w:bCs/>
                <w:szCs w:val="28"/>
              </w:rPr>
              <w:t>1</w:t>
            </w:r>
          </w:p>
        </w:tc>
        <w:tc>
          <w:tcPr>
            <w:tcW w:w="1680" w:type="dxa"/>
            <w:tcBorders>
              <w:top w:val="single" w:color="auto" w:sz="6" w:space="0"/>
              <w:left w:val="single" w:color="auto" w:sz="6" w:space="0"/>
              <w:bottom w:val="single" w:color="auto" w:sz="6" w:space="0"/>
              <w:right w:val="single" w:color="auto" w:sz="6" w:space="0"/>
            </w:tcBorders>
            <w:vAlign w:val="center"/>
          </w:tcPr>
          <w:p w14:paraId="069A8CB2">
            <w:pPr>
              <w:pStyle w:val="13"/>
              <w:overflowPunct w:val="0"/>
              <w:ind w:firstLine="480" w:firstLineChars="200"/>
              <w:jc w:val="center"/>
              <w:rPr>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36E2B3E1">
            <w:pPr>
              <w:pStyle w:val="13"/>
              <w:overflowPunct w:val="0"/>
              <w:ind w:firstLine="480" w:firstLineChars="200"/>
              <w:jc w:val="center"/>
              <w:rPr>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7D5A29DF">
            <w:pPr>
              <w:pStyle w:val="13"/>
              <w:overflowPunct w:val="0"/>
              <w:ind w:firstLine="480" w:firstLineChars="200"/>
              <w:jc w:val="center"/>
              <w:rPr>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487AAD83">
            <w:pPr>
              <w:pStyle w:val="13"/>
              <w:overflowPunct w:val="0"/>
              <w:ind w:firstLine="480" w:firstLineChars="200"/>
              <w:jc w:val="center"/>
              <w:rPr>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341224DF">
            <w:pPr>
              <w:pStyle w:val="13"/>
              <w:overflowPunct w:val="0"/>
              <w:ind w:firstLine="480" w:firstLineChars="200"/>
              <w:jc w:val="center"/>
              <w:rPr>
                <w:bCs/>
                <w:szCs w:val="28"/>
              </w:rPr>
            </w:pPr>
          </w:p>
        </w:tc>
      </w:tr>
      <w:tr w14:paraId="6A3D60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60258F49">
            <w:pPr>
              <w:pStyle w:val="13"/>
              <w:overflowPunct w:val="0"/>
              <w:ind w:firstLine="480" w:firstLineChars="200"/>
              <w:rPr>
                <w:bCs/>
                <w:szCs w:val="28"/>
              </w:rPr>
            </w:pPr>
            <w:r>
              <w:rPr>
                <w:rFonts w:hint="eastAsia"/>
                <w:bCs/>
                <w:szCs w:val="28"/>
              </w:rPr>
              <w:t>2</w:t>
            </w:r>
          </w:p>
        </w:tc>
        <w:tc>
          <w:tcPr>
            <w:tcW w:w="1680" w:type="dxa"/>
            <w:tcBorders>
              <w:top w:val="single" w:color="auto" w:sz="6" w:space="0"/>
              <w:left w:val="single" w:color="auto" w:sz="6" w:space="0"/>
              <w:bottom w:val="single" w:color="auto" w:sz="6" w:space="0"/>
              <w:right w:val="single" w:color="auto" w:sz="6" w:space="0"/>
            </w:tcBorders>
            <w:vAlign w:val="center"/>
          </w:tcPr>
          <w:p w14:paraId="04957521">
            <w:pPr>
              <w:pStyle w:val="13"/>
              <w:overflowPunct w:val="0"/>
              <w:ind w:firstLine="480" w:firstLineChars="200"/>
              <w:jc w:val="center"/>
              <w:rPr>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17984054">
            <w:pPr>
              <w:pStyle w:val="13"/>
              <w:overflowPunct w:val="0"/>
              <w:ind w:firstLine="480" w:firstLineChars="200"/>
              <w:jc w:val="center"/>
              <w:rPr>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25CE2476">
            <w:pPr>
              <w:pStyle w:val="13"/>
              <w:overflowPunct w:val="0"/>
              <w:ind w:firstLine="480" w:firstLineChars="200"/>
              <w:jc w:val="center"/>
              <w:rPr>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1A0B47BD">
            <w:pPr>
              <w:pStyle w:val="13"/>
              <w:overflowPunct w:val="0"/>
              <w:ind w:firstLine="480" w:firstLineChars="200"/>
              <w:jc w:val="center"/>
              <w:rPr>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4A7E49C0">
            <w:pPr>
              <w:pStyle w:val="13"/>
              <w:overflowPunct w:val="0"/>
              <w:ind w:firstLine="480" w:firstLineChars="200"/>
              <w:jc w:val="center"/>
              <w:rPr>
                <w:bCs/>
                <w:szCs w:val="28"/>
              </w:rPr>
            </w:pPr>
          </w:p>
        </w:tc>
      </w:tr>
      <w:tr w14:paraId="43CDF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1DDE78BB">
            <w:pPr>
              <w:pStyle w:val="13"/>
              <w:overflowPunct w:val="0"/>
              <w:ind w:firstLine="480" w:firstLineChars="200"/>
              <w:rPr>
                <w:bCs/>
                <w:szCs w:val="28"/>
              </w:rPr>
            </w:pPr>
            <w:r>
              <w:rPr>
                <w:rFonts w:hint="eastAsia"/>
                <w:bCs/>
                <w:szCs w:val="28"/>
              </w:rPr>
              <w:t>3</w:t>
            </w:r>
          </w:p>
        </w:tc>
        <w:tc>
          <w:tcPr>
            <w:tcW w:w="1680" w:type="dxa"/>
            <w:tcBorders>
              <w:top w:val="single" w:color="auto" w:sz="6" w:space="0"/>
              <w:left w:val="single" w:color="auto" w:sz="6" w:space="0"/>
              <w:bottom w:val="single" w:color="auto" w:sz="6" w:space="0"/>
              <w:right w:val="single" w:color="auto" w:sz="6" w:space="0"/>
            </w:tcBorders>
            <w:vAlign w:val="center"/>
          </w:tcPr>
          <w:p w14:paraId="3A811657">
            <w:pPr>
              <w:pStyle w:val="13"/>
              <w:overflowPunct w:val="0"/>
              <w:ind w:firstLine="480" w:firstLineChars="200"/>
              <w:jc w:val="center"/>
              <w:rPr>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36B7A4F6">
            <w:pPr>
              <w:pStyle w:val="13"/>
              <w:overflowPunct w:val="0"/>
              <w:ind w:firstLine="480" w:firstLineChars="200"/>
              <w:jc w:val="center"/>
              <w:rPr>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0724B6D4">
            <w:pPr>
              <w:pStyle w:val="13"/>
              <w:overflowPunct w:val="0"/>
              <w:ind w:firstLine="480" w:firstLineChars="200"/>
              <w:jc w:val="center"/>
              <w:rPr>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5A002B3A">
            <w:pPr>
              <w:pStyle w:val="13"/>
              <w:overflowPunct w:val="0"/>
              <w:ind w:firstLine="480" w:firstLineChars="200"/>
              <w:jc w:val="center"/>
              <w:rPr>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48597D3A">
            <w:pPr>
              <w:pStyle w:val="13"/>
              <w:overflowPunct w:val="0"/>
              <w:ind w:firstLine="480" w:firstLineChars="200"/>
              <w:jc w:val="center"/>
              <w:rPr>
                <w:bCs/>
                <w:szCs w:val="28"/>
              </w:rPr>
            </w:pPr>
          </w:p>
        </w:tc>
      </w:tr>
      <w:tr w14:paraId="5ECE05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5E7AF0E2">
            <w:pPr>
              <w:pStyle w:val="13"/>
              <w:overflowPunct w:val="0"/>
              <w:ind w:firstLine="480" w:firstLineChars="200"/>
              <w:rPr>
                <w:bCs/>
                <w:szCs w:val="28"/>
              </w:rPr>
            </w:pPr>
            <w:r>
              <w:rPr>
                <w:rFonts w:hint="eastAsia"/>
                <w:bCs/>
                <w:szCs w:val="28"/>
              </w:rPr>
              <w:t>4</w:t>
            </w:r>
          </w:p>
        </w:tc>
        <w:tc>
          <w:tcPr>
            <w:tcW w:w="1680" w:type="dxa"/>
            <w:tcBorders>
              <w:top w:val="single" w:color="auto" w:sz="6" w:space="0"/>
              <w:left w:val="single" w:color="auto" w:sz="6" w:space="0"/>
              <w:bottom w:val="single" w:color="auto" w:sz="6" w:space="0"/>
              <w:right w:val="single" w:color="auto" w:sz="6" w:space="0"/>
            </w:tcBorders>
            <w:vAlign w:val="center"/>
          </w:tcPr>
          <w:p w14:paraId="1830BEF4">
            <w:pPr>
              <w:pStyle w:val="13"/>
              <w:overflowPunct w:val="0"/>
              <w:ind w:firstLine="480" w:firstLineChars="200"/>
              <w:jc w:val="center"/>
              <w:rPr>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480DC2B2">
            <w:pPr>
              <w:pStyle w:val="13"/>
              <w:overflowPunct w:val="0"/>
              <w:ind w:firstLine="480" w:firstLineChars="200"/>
              <w:jc w:val="center"/>
              <w:rPr>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1247277E">
            <w:pPr>
              <w:pStyle w:val="13"/>
              <w:overflowPunct w:val="0"/>
              <w:ind w:firstLine="480" w:firstLineChars="200"/>
              <w:jc w:val="center"/>
              <w:rPr>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16BF7B78">
            <w:pPr>
              <w:pStyle w:val="13"/>
              <w:overflowPunct w:val="0"/>
              <w:ind w:firstLine="480" w:firstLineChars="200"/>
              <w:jc w:val="center"/>
              <w:rPr>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71B234D5">
            <w:pPr>
              <w:pStyle w:val="13"/>
              <w:overflowPunct w:val="0"/>
              <w:ind w:firstLine="480" w:firstLineChars="200"/>
              <w:jc w:val="center"/>
              <w:rPr>
                <w:bCs/>
                <w:szCs w:val="28"/>
              </w:rPr>
            </w:pPr>
          </w:p>
        </w:tc>
      </w:tr>
      <w:tr w14:paraId="67B31E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7E8F926B">
            <w:pPr>
              <w:pStyle w:val="13"/>
              <w:overflowPunct w:val="0"/>
              <w:ind w:firstLine="480" w:firstLineChars="200"/>
              <w:rPr>
                <w:bCs/>
                <w:szCs w:val="28"/>
              </w:rPr>
            </w:pPr>
            <w:r>
              <w:rPr>
                <w:rFonts w:hint="eastAsia"/>
                <w:bCs/>
                <w:szCs w:val="28"/>
              </w:rPr>
              <w:t>5</w:t>
            </w:r>
          </w:p>
        </w:tc>
        <w:tc>
          <w:tcPr>
            <w:tcW w:w="1680" w:type="dxa"/>
            <w:tcBorders>
              <w:top w:val="single" w:color="auto" w:sz="6" w:space="0"/>
              <w:left w:val="single" w:color="auto" w:sz="6" w:space="0"/>
              <w:bottom w:val="single" w:color="auto" w:sz="6" w:space="0"/>
              <w:right w:val="single" w:color="auto" w:sz="6" w:space="0"/>
            </w:tcBorders>
            <w:vAlign w:val="center"/>
          </w:tcPr>
          <w:p w14:paraId="2ECF8C2F">
            <w:pPr>
              <w:pStyle w:val="13"/>
              <w:overflowPunct w:val="0"/>
              <w:ind w:firstLine="480" w:firstLineChars="200"/>
              <w:jc w:val="center"/>
              <w:rPr>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127459C6">
            <w:pPr>
              <w:pStyle w:val="13"/>
              <w:overflowPunct w:val="0"/>
              <w:ind w:firstLine="480" w:firstLineChars="200"/>
              <w:jc w:val="center"/>
              <w:rPr>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5F92F8A7">
            <w:pPr>
              <w:pStyle w:val="13"/>
              <w:overflowPunct w:val="0"/>
              <w:ind w:firstLine="480" w:firstLineChars="200"/>
              <w:jc w:val="center"/>
              <w:rPr>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49E1CF55">
            <w:pPr>
              <w:pStyle w:val="13"/>
              <w:overflowPunct w:val="0"/>
              <w:ind w:firstLine="480" w:firstLineChars="200"/>
              <w:jc w:val="center"/>
              <w:rPr>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71924AEF">
            <w:pPr>
              <w:pStyle w:val="13"/>
              <w:overflowPunct w:val="0"/>
              <w:ind w:firstLine="480" w:firstLineChars="200"/>
              <w:jc w:val="center"/>
              <w:rPr>
                <w:bCs/>
                <w:szCs w:val="28"/>
              </w:rPr>
            </w:pPr>
          </w:p>
        </w:tc>
      </w:tr>
      <w:tr w14:paraId="0A2602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textDirection w:val="tbRlV"/>
            <w:vAlign w:val="center"/>
          </w:tcPr>
          <w:p w14:paraId="5B8D09C3">
            <w:pPr>
              <w:pStyle w:val="13"/>
              <w:overflowPunct w:val="0"/>
              <w:ind w:firstLine="480" w:firstLineChars="200"/>
              <w:jc w:val="center"/>
              <w:rPr>
                <w:bCs/>
                <w:szCs w:val="28"/>
              </w:rPr>
            </w:pPr>
          </w:p>
        </w:tc>
        <w:tc>
          <w:tcPr>
            <w:tcW w:w="1680" w:type="dxa"/>
            <w:tcBorders>
              <w:top w:val="single" w:color="auto" w:sz="6" w:space="0"/>
              <w:left w:val="single" w:color="auto" w:sz="6" w:space="0"/>
              <w:bottom w:val="single" w:color="auto" w:sz="6" w:space="0"/>
              <w:right w:val="single" w:color="auto" w:sz="6" w:space="0"/>
            </w:tcBorders>
            <w:vAlign w:val="center"/>
          </w:tcPr>
          <w:p w14:paraId="1AF33C4B">
            <w:pPr>
              <w:pStyle w:val="13"/>
              <w:overflowPunct w:val="0"/>
              <w:ind w:firstLine="480" w:firstLineChars="200"/>
              <w:jc w:val="center"/>
              <w:rPr>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1391921F">
            <w:pPr>
              <w:pStyle w:val="13"/>
              <w:overflowPunct w:val="0"/>
              <w:ind w:firstLine="480" w:firstLineChars="200"/>
              <w:jc w:val="center"/>
              <w:rPr>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26E4E5CA">
            <w:pPr>
              <w:pStyle w:val="13"/>
              <w:overflowPunct w:val="0"/>
              <w:ind w:firstLine="480" w:firstLineChars="200"/>
              <w:jc w:val="center"/>
              <w:rPr>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3B8A7DAE">
            <w:pPr>
              <w:pStyle w:val="13"/>
              <w:overflowPunct w:val="0"/>
              <w:ind w:firstLine="480" w:firstLineChars="200"/>
              <w:jc w:val="center"/>
              <w:rPr>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39457324">
            <w:pPr>
              <w:pStyle w:val="13"/>
              <w:overflowPunct w:val="0"/>
              <w:ind w:firstLine="480" w:firstLineChars="200"/>
              <w:jc w:val="center"/>
              <w:rPr>
                <w:bCs/>
                <w:szCs w:val="28"/>
              </w:rPr>
            </w:pPr>
          </w:p>
        </w:tc>
      </w:tr>
      <w:tr w14:paraId="06D2F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42DCD995">
            <w:pPr>
              <w:pStyle w:val="13"/>
              <w:overflowPunct w:val="0"/>
              <w:ind w:firstLine="480" w:firstLineChars="200"/>
              <w:jc w:val="center"/>
              <w:rPr>
                <w:bCs/>
                <w:szCs w:val="28"/>
              </w:rPr>
            </w:pPr>
          </w:p>
        </w:tc>
        <w:tc>
          <w:tcPr>
            <w:tcW w:w="1680" w:type="dxa"/>
            <w:tcBorders>
              <w:top w:val="single" w:color="auto" w:sz="6" w:space="0"/>
              <w:left w:val="single" w:color="auto" w:sz="6" w:space="0"/>
              <w:bottom w:val="single" w:color="auto" w:sz="6" w:space="0"/>
              <w:right w:val="single" w:color="auto" w:sz="6" w:space="0"/>
            </w:tcBorders>
            <w:vAlign w:val="center"/>
          </w:tcPr>
          <w:p w14:paraId="68E5CFF9">
            <w:pPr>
              <w:pStyle w:val="13"/>
              <w:overflowPunct w:val="0"/>
              <w:ind w:firstLine="480" w:firstLineChars="200"/>
              <w:jc w:val="center"/>
              <w:rPr>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668ED04C">
            <w:pPr>
              <w:pStyle w:val="13"/>
              <w:overflowPunct w:val="0"/>
              <w:ind w:firstLine="480" w:firstLineChars="200"/>
              <w:jc w:val="center"/>
              <w:rPr>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1151BA29">
            <w:pPr>
              <w:pStyle w:val="13"/>
              <w:overflowPunct w:val="0"/>
              <w:ind w:firstLine="480" w:firstLineChars="200"/>
              <w:jc w:val="center"/>
              <w:rPr>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7A7BE105">
            <w:pPr>
              <w:pStyle w:val="13"/>
              <w:overflowPunct w:val="0"/>
              <w:ind w:firstLine="480" w:firstLineChars="200"/>
              <w:jc w:val="center"/>
              <w:rPr>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60F37AC3">
            <w:pPr>
              <w:pStyle w:val="13"/>
              <w:overflowPunct w:val="0"/>
              <w:ind w:firstLine="480" w:firstLineChars="200"/>
              <w:jc w:val="center"/>
              <w:rPr>
                <w:bCs/>
                <w:szCs w:val="28"/>
              </w:rPr>
            </w:pPr>
          </w:p>
        </w:tc>
      </w:tr>
      <w:tr w14:paraId="274C67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4B93A325">
            <w:pPr>
              <w:pStyle w:val="13"/>
              <w:overflowPunct w:val="0"/>
              <w:ind w:firstLine="480" w:firstLineChars="200"/>
              <w:jc w:val="center"/>
              <w:rPr>
                <w:bCs/>
                <w:szCs w:val="28"/>
              </w:rPr>
            </w:pPr>
          </w:p>
        </w:tc>
        <w:tc>
          <w:tcPr>
            <w:tcW w:w="1680" w:type="dxa"/>
            <w:tcBorders>
              <w:top w:val="single" w:color="auto" w:sz="6" w:space="0"/>
              <w:left w:val="single" w:color="auto" w:sz="6" w:space="0"/>
              <w:bottom w:val="single" w:color="auto" w:sz="6" w:space="0"/>
              <w:right w:val="single" w:color="auto" w:sz="6" w:space="0"/>
            </w:tcBorders>
            <w:vAlign w:val="center"/>
          </w:tcPr>
          <w:p w14:paraId="6F57F5C3">
            <w:pPr>
              <w:pStyle w:val="13"/>
              <w:overflowPunct w:val="0"/>
              <w:ind w:firstLine="480" w:firstLineChars="200"/>
              <w:jc w:val="center"/>
              <w:rPr>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6303ED37">
            <w:pPr>
              <w:pStyle w:val="13"/>
              <w:overflowPunct w:val="0"/>
              <w:ind w:firstLine="480" w:firstLineChars="200"/>
              <w:jc w:val="center"/>
              <w:rPr>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78454302">
            <w:pPr>
              <w:pStyle w:val="13"/>
              <w:overflowPunct w:val="0"/>
              <w:ind w:firstLine="480" w:firstLineChars="200"/>
              <w:jc w:val="center"/>
              <w:rPr>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0E2D95F0">
            <w:pPr>
              <w:pStyle w:val="13"/>
              <w:overflowPunct w:val="0"/>
              <w:ind w:firstLine="480" w:firstLineChars="200"/>
              <w:jc w:val="center"/>
              <w:rPr>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36FEBB75">
            <w:pPr>
              <w:pStyle w:val="13"/>
              <w:overflowPunct w:val="0"/>
              <w:ind w:firstLine="480" w:firstLineChars="200"/>
              <w:jc w:val="center"/>
              <w:rPr>
                <w:bCs/>
                <w:szCs w:val="28"/>
              </w:rPr>
            </w:pPr>
          </w:p>
        </w:tc>
      </w:tr>
      <w:tr w14:paraId="609601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47A3F327">
            <w:pPr>
              <w:pStyle w:val="13"/>
              <w:overflowPunct w:val="0"/>
              <w:ind w:firstLine="480" w:firstLineChars="200"/>
              <w:jc w:val="center"/>
              <w:rPr>
                <w:bCs/>
                <w:szCs w:val="28"/>
              </w:rPr>
            </w:pPr>
          </w:p>
        </w:tc>
        <w:tc>
          <w:tcPr>
            <w:tcW w:w="1680" w:type="dxa"/>
            <w:tcBorders>
              <w:top w:val="single" w:color="auto" w:sz="6" w:space="0"/>
              <w:left w:val="single" w:color="auto" w:sz="6" w:space="0"/>
              <w:bottom w:val="single" w:color="auto" w:sz="6" w:space="0"/>
              <w:right w:val="single" w:color="auto" w:sz="6" w:space="0"/>
            </w:tcBorders>
            <w:vAlign w:val="center"/>
          </w:tcPr>
          <w:p w14:paraId="26B6EA42">
            <w:pPr>
              <w:pStyle w:val="13"/>
              <w:overflowPunct w:val="0"/>
              <w:ind w:firstLine="480" w:firstLineChars="200"/>
              <w:jc w:val="center"/>
              <w:rPr>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79CE0131">
            <w:pPr>
              <w:pStyle w:val="13"/>
              <w:overflowPunct w:val="0"/>
              <w:ind w:firstLine="480" w:firstLineChars="200"/>
              <w:jc w:val="center"/>
              <w:rPr>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13A1274A">
            <w:pPr>
              <w:pStyle w:val="13"/>
              <w:overflowPunct w:val="0"/>
              <w:ind w:firstLine="480" w:firstLineChars="200"/>
              <w:jc w:val="center"/>
              <w:rPr>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06E6617E">
            <w:pPr>
              <w:pStyle w:val="13"/>
              <w:overflowPunct w:val="0"/>
              <w:ind w:firstLine="480" w:firstLineChars="200"/>
              <w:jc w:val="center"/>
              <w:rPr>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30740996">
            <w:pPr>
              <w:pStyle w:val="13"/>
              <w:overflowPunct w:val="0"/>
              <w:ind w:firstLine="480" w:firstLineChars="200"/>
              <w:jc w:val="center"/>
              <w:rPr>
                <w:bCs/>
                <w:szCs w:val="28"/>
              </w:rPr>
            </w:pPr>
          </w:p>
        </w:tc>
      </w:tr>
      <w:tr w14:paraId="0383D0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1210" w:type="dxa"/>
            <w:tcBorders>
              <w:top w:val="single" w:color="auto" w:sz="6" w:space="0"/>
              <w:left w:val="single" w:color="auto" w:sz="6" w:space="0"/>
              <w:bottom w:val="single" w:color="auto" w:sz="6" w:space="0"/>
              <w:right w:val="single" w:color="auto" w:sz="6" w:space="0"/>
            </w:tcBorders>
            <w:vAlign w:val="center"/>
          </w:tcPr>
          <w:p w14:paraId="6E495828">
            <w:pPr>
              <w:pStyle w:val="13"/>
              <w:overflowPunct w:val="0"/>
              <w:ind w:firstLine="480" w:firstLineChars="200"/>
              <w:jc w:val="center"/>
              <w:rPr>
                <w:bCs/>
                <w:szCs w:val="28"/>
              </w:rPr>
            </w:pPr>
          </w:p>
        </w:tc>
        <w:tc>
          <w:tcPr>
            <w:tcW w:w="1680" w:type="dxa"/>
            <w:tcBorders>
              <w:top w:val="single" w:color="auto" w:sz="6" w:space="0"/>
              <w:left w:val="single" w:color="auto" w:sz="6" w:space="0"/>
              <w:bottom w:val="single" w:color="auto" w:sz="6" w:space="0"/>
              <w:right w:val="single" w:color="auto" w:sz="6" w:space="0"/>
            </w:tcBorders>
            <w:vAlign w:val="center"/>
          </w:tcPr>
          <w:p w14:paraId="47475901">
            <w:pPr>
              <w:pStyle w:val="13"/>
              <w:overflowPunct w:val="0"/>
              <w:ind w:firstLine="480" w:firstLineChars="200"/>
              <w:jc w:val="center"/>
              <w:rPr>
                <w:bCs/>
                <w:szCs w:val="28"/>
              </w:rPr>
            </w:pPr>
          </w:p>
        </w:tc>
        <w:tc>
          <w:tcPr>
            <w:tcW w:w="1241" w:type="dxa"/>
            <w:tcBorders>
              <w:top w:val="single" w:color="auto" w:sz="6" w:space="0"/>
              <w:left w:val="single" w:color="auto" w:sz="6" w:space="0"/>
              <w:bottom w:val="single" w:color="auto" w:sz="6" w:space="0"/>
              <w:right w:val="single" w:color="auto" w:sz="6" w:space="0"/>
            </w:tcBorders>
            <w:vAlign w:val="center"/>
          </w:tcPr>
          <w:p w14:paraId="01FCBD3A">
            <w:pPr>
              <w:pStyle w:val="13"/>
              <w:overflowPunct w:val="0"/>
              <w:ind w:firstLine="480" w:firstLineChars="200"/>
              <w:jc w:val="center"/>
              <w:rPr>
                <w:bCs/>
                <w:szCs w:val="28"/>
              </w:rPr>
            </w:pPr>
          </w:p>
        </w:tc>
        <w:tc>
          <w:tcPr>
            <w:tcW w:w="1878" w:type="dxa"/>
            <w:tcBorders>
              <w:top w:val="single" w:color="auto" w:sz="6" w:space="0"/>
              <w:left w:val="single" w:color="auto" w:sz="6" w:space="0"/>
              <w:bottom w:val="single" w:color="auto" w:sz="6" w:space="0"/>
              <w:right w:val="single" w:color="auto" w:sz="4" w:space="0"/>
            </w:tcBorders>
            <w:vAlign w:val="center"/>
          </w:tcPr>
          <w:p w14:paraId="7293460E">
            <w:pPr>
              <w:pStyle w:val="13"/>
              <w:overflowPunct w:val="0"/>
              <w:ind w:firstLine="480" w:firstLineChars="200"/>
              <w:jc w:val="center"/>
              <w:rPr>
                <w:bCs/>
                <w:szCs w:val="28"/>
              </w:rPr>
            </w:pPr>
          </w:p>
        </w:tc>
        <w:tc>
          <w:tcPr>
            <w:tcW w:w="2036" w:type="dxa"/>
            <w:tcBorders>
              <w:top w:val="single" w:color="auto" w:sz="6" w:space="0"/>
              <w:left w:val="single" w:color="auto" w:sz="4" w:space="0"/>
              <w:bottom w:val="single" w:color="auto" w:sz="6" w:space="0"/>
              <w:right w:val="single" w:color="auto" w:sz="4" w:space="0"/>
            </w:tcBorders>
            <w:vAlign w:val="center"/>
          </w:tcPr>
          <w:p w14:paraId="3256DEDB">
            <w:pPr>
              <w:pStyle w:val="13"/>
              <w:overflowPunct w:val="0"/>
              <w:ind w:firstLine="480" w:firstLineChars="200"/>
              <w:jc w:val="center"/>
              <w:rPr>
                <w:bCs/>
                <w:szCs w:val="28"/>
              </w:rPr>
            </w:pPr>
          </w:p>
        </w:tc>
        <w:tc>
          <w:tcPr>
            <w:tcW w:w="1764" w:type="dxa"/>
            <w:tcBorders>
              <w:top w:val="single" w:color="auto" w:sz="6" w:space="0"/>
              <w:left w:val="single" w:color="auto" w:sz="6" w:space="0"/>
              <w:bottom w:val="single" w:color="auto" w:sz="6" w:space="0"/>
              <w:right w:val="single" w:color="auto" w:sz="6" w:space="0"/>
            </w:tcBorders>
            <w:vAlign w:val="center"/>
          </w:tcPr>
          <w:p w14:paraId="695C5483">
            <w:pPr>
              <w:pStyle w:val="13"/>
              <w:overflowPunct w:val="0"/>
              <w:ind w:firstLine="480" w:firstLineChars="200"/>
              <w:jc w:val="center"/>
              <w:rPr>
                <w:bCs/>
                <w:szCs w:val="28"/>
              </w:rPr>
            </w:pPr>
          </w:p>
        </w:tc>
      </w:tr>
    </w:tbl>
    <w:p w14:paraId="3EB04DC1">
      <w:pPr>
        <w:autoSpaceDE w:val="0"/>
        <w:autoSpaceDN w:val="0"/>
        <w:ind w:firstLine="2940" w:firstLineChars="1400"/>
        <w:rPr>
          <w:rFonts w:hAnsi="宋体"/>
          <w:bCs/>
          <w:szCs w:val="28"/>
        </w:rPr>
      </w:pPr>
    </w:p>
    <w:p w14:paraId="0C5D4EA9">
      <w:pPr>
        <w:autoSpaceDE w:val="0"/>
        <w:autoSpaceDN w:val="0"/>
        <w:ind w:firstLine="2940" w:firstLineChars="1400"/>
        <w:rPr>
          <w:rFonts w:hAnsi="宋体"/>
          <w:bCs/>
          <w:szCs w:val="28"/>
        </w:rPr>
      </w:pPr>
    </w:p>
    <w:p w14:paraId="74469744">
      <w:pPr>
        <w:autoSpaceDE w:val="0"/>
        <w:autoSpaceDN w:val="0"/>
        <w:ind w:firstLine="2940" w:firstLineChars="1400"/>
        <w:rPr>
          <w:rFonts w:hAnsi="宋体"/>
          <w:bCs/>
          <w:szCs w:val="28"/>
        </w:rPr>
      </w:pPr>
    </w:p>
    <w:p w14:paraId="1E2CB8CC">
      <w:pPr>
        <w:autoSpaceDE w:val="0"/>
        <w:autoSpaceDN w:val="0"/>
        <w:ind w:firstLine="2940" w:firstLineChars="1400"/>
        <w:rPr>
          <w:rFonts w:hAnsi="宋体"/>
          <w:bCs/>
          <w:szCs w:val="28"/>
        </w:rPr>
      </w:pPr>
      <w:r>
        <w:rPr>
          <w:rFonts w:hint="eastAsia" w:hAnsi="宋体"/>
          <w:bCs/>
          <w:szCs w:val="28"/>
        </w:rPr>
        <w:t>投标人（公章）：</w:t>
      </w:r>
    </w:p>
    <w:p w14:paraId="7DBC5CE0">
      <w:pPr>
        <w:autoSpaceDE w:val="0"/>
        <w:autoSpaceDN w:val="0"/>
        <w:ind w:firstLine="2940" w:firstLineChars="1400"/>
        <w:rPr>
          <w:rFonts w:hAnsi="宋体"/>
          <w:bCs/>
          <w:szCs w:val="28"/>
        </w:rPr>
      </w:pPr>
      <w:r>
        <w:rPr>
          <w:rFonts w:hint="eastAsia" w:hAnsi="宋体"/>
          <w:bCs/>
          <w:szCs w:val="28"/>
        </w:rPr>
        <w:t>法定代表人或授权委托人：（签字或盖章）</w:t>
      </w:r>
    </w:p>
    <w:p w14:paraId="0D775176">
      <w:pPr>
        <w:autoSpaceDE w:val="0"/>
        <w:autoSpaceDN w:val="0"/>
        <w:ind w:firstLine="3360" w:firstLineChars="1600"/>
        <w:rPr>
          <w:rFonts w:hAnsi="宋体"/>
          <w:bCs/>
          <w:szCs w:val="28"/>
        </w:rPr>
      </w:pPr>
      <w:r>
        <w:rPr>
          <w:rFonts w:hint="eastAsia" w:hAnsi="宋体"/>
          <w:bCs/>
          <w:szCs w:val="28"/>
        </w:rPr>
        <w:t>日期：年月日</w:t>
      </w:r>
    </w:p>
    <w:p w14:paraId="64D1111E">
      <w:pPr>
        <w:widowControl/>
        <w:spacing w:before="50" w:after="50"/>
        <w:jc w:val="center"/>
        <w:rPr>
          <w:rFonts w:ascii="黑体" w:hAnsi="宋体" w:eastAsia="黑体" w:cs="黑体"/>
          <w:b/>
          <w:iCs/>
          <w:color w:val="000000"/>
          <w:kern w:val="0"/>
          <w:sz w:val="32"/>
          <w:szCs w:val="32"/>
        </w:rPr>
      </w:pPr>
      <w:r>
        <w:rPr>
          <w:rFonts w:hint="eastAsia"/>
          <w:szCs w:val="28"/>
          <w:lang w:val="zh-CN"/>
        </w:rPr>
        <w:br w:type="page"/>
      </w:r>
      <w:r>
        <w:rPr>
          <w:rFonts w:hint="eastAsia" w:ascii="黑体" w:hAnsi="宋体" w:eastAsia="黑体" w:cs="黑体"/>
          <w:b/>
          <w:iCs/>
          <w:color w:val="000000"/>
          <w:kern w:val="0"/>
          <w:sz w:val="32"/>
          <w:szCs w:val="32"/>
        </w:rPr>
        <w:t>十六、盐城市政府采购事前信用承诺书</w:t>
      </w:r>
    </w:p>
    <w:p w14:paraId="64830AB1">
      <w:pPr>
        <w:widowControl/>
        <w:spacing w:line="499" w:lineRule="atLeast"/>
        <w:ind w:firstLine="640"/>
        <w:jc w:val="left"/>
        <w:rPr>
          <w:rFonts w:ascii="宋体" w:hAnsi="宋体" w:eastAsia="宋体" w:cs="宋体"/>
          <w:sz w:val="24"/>
        </w:rPr>
      </w:pPr>
      <w:r>
        <w:rPr>
          <w:rFonts w:hint="eastAsia" w:ascii="宋体" w:hAnsi="宋体" w:eastAsia="宋体" w:cs="宋体"/>
          <w:color w:val="000000"/>
          <w:sz w:val="32"/>
          <w:szCs w:val="32"/>
        </w:rPr>
        <w:t> </w:t>
      </w:r>
      <w:r>
        <w:rPr>
          <w:rFonts w:hint="eastAsia" w:ascii="宋体" w:hAnsi="宋体" w:eastAsia="宋体" w:cs="宋体"/>
          <w:color w:val="000000"/>
          <w:sz w:val="24"/>
        </w:rPr>
        <w:t>为营造我市公开、公平、公正、诚实守信的政府采购交易环境，树立诚信守法的投标人形象，本人代表本单位作出以下承诺：</w:t>
      </w:r>
    </w:p>
    <w:p w14:paraId="50650E5C">
      <w:pPr>
        <w:widowControl/>
        <w:spacing w:line="499" w:lineRule="atLeast"/>
        <w:jc w:val="left"/>
        <w:rPr>
          <w:rFonts w:ascii="宋体" w:hAnsi="宋体" w:eastAsia="宋体" w:cs="宋体"/>
          <w:sz w:val="24"/>
        </w:rPr>
      </w:pPr>
      <w:r>
        <w:rPr>
          <w:rFonts w:hint="eastAsia" w:ascii="宋体" w:hAnsi="宋体" w:eastAsia="宋体" w:cs="宋体"/>
          <w:color w:val="000000"/>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48D5D64">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352D362">
      <w:pPr>
        <w:widowControl/>
        <w:spacing w:line="499" w:lineRule="atLeast"/>
        <w:jc w:val="left"/>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p>
    <w:p w14:paraId="0DA17F07">
      <w:pPr>
        <w:widowControl/>
        <w:spacing w:line="499" w:lineRule="atLeast"/>
        <w:jc w:val="left"/>
        <w:rPr>
          <w:rFonts w:ascii="宋体" w:hAnsi="宋体" w:eastAsia="宋体" w:cs="宋体"/>
          <w:sz w:val="24"/>
        </w:rPr>
      </w:pPr>
      <w:r>
        <w:rPr>
          <w:rFonts w:hint="eastAsia" w:ascii="宋体" w:hAnsi="宋体" w:eastAsia="宋体" w:cs="宋体"/>
          <w:color w:val="000000"/>
          <w:sz w:val="24"/>
        </w:rPr>
        <w:t>   （四）严格遵守即时信息公示规定，及时维护和更新维护和更新盐城市政府采购网中与本单位相关的信息；</w:t>
      </w:r>
    </w:p>
    <w:p w14:paraId="5D3F92B8">
      <w:pPr>
        <w:widowControl/>
        <w:spacing w:line="499" w:lineRule="atLeast"/>
        <w:jc w:val="left"/>
        <w:rPr>
          <w:rFonts w:ascii="宋体" w:hAnsi="宋体" w:eastAsia="宋体" w:cs="宋体"/>
          <w:sz w:val="24"/>
        </w:rPr>
      </w:pPr>
      <w:r>
        <w:rPr>
          <w:rFonts w:hint="eastAsia" w:ascii="宋体" w:hAnsi="宋体" w:eastAsia="宋体" w:cs="宋体"/>
          <w:color w:val="000000"/>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2C90AF8D">
      <w:pPr>
        <w:widowControl/>
        <w:spacing w:line="499" w:lineRule="atLeast"/>
        <w:jc w:val="left"/>
        <w:rPr>
          <w:rFonts w:ascii="宋体" w:hAnsi="宋体" w:eastAsia="宋体" w:cs="宋体"/>
          <w:sz w:val="24"/>
        </w:rPr>
      </w:pPr>
      <w:r>
        <w:rPr>
          <w:rFonts w:hint="eastAsia" w:ascii="宋体" w:hAnsi="宋体" w:eastAsia="宋体" w:cs="宋体"/>
          <w:color w:val="000000"/>
          <w:sz w:val="24"/>
        </w:rPr>
        <w:t>   （六）自觉接受政府、行业组织、社会公众、新闻舆论的监督；</w:t>
      </w:r>
    </w:p>
    <w:p w14:paraId="0468A88F">
      <w:pPr>
        <w:widowControl/>
        <w:spacing w:line="499" w:lineRule="atLeast"/>
        <w:ind w:firstLine="480"/>
        <w:jc w:val="left"/>
        <w:rPr>
          <w:rFonts w:ascii="宋体" w:hAnsi="宋体" w:eastAsia="宋体" w:cs="宋体"/>
          <w:sz w:val="24"/>
        </w:rPr>
      </w:pPr>
      <w:r>
        <w:rPr>
          <w:rFonts w:hint="eastAsia" w:ascii="宋体" w:hAnsi="宋体" w:eastAsia="宋体" w:cs="宋体"/>
          <w:color w:val="000000"/>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1A5BC45">
      <w:pPr>
        <w:widowControl/>
        <w:spacing w:line="499" w:lineRule="atLeast"/>
        <w:jc w:val="left"/>
        <w:rPr>
          <w:rFonts w:ascii="宋体" w:hAnsi="宋体" w:eastAsia="宋体" w:cs="宋体"/>
          <w:sz w:val="24"/>
        </w:rPr>
      </w:pPr>
      <w:r>
        <w:rPr>
          <w:rFonts w:hint="eastAsia" w:ascii="宋体" w:hAnsi="宋体" w:eastAsia="宋体" w:cs="宋体"/>
          <w:color w:val="000000"/>
          <w:sz w:val="24"/>
        </w:rPr>
        <w:t>   （八）本人已认真阅读了上述承诺，并向本单位员工作了宣传教育。</w:t>
      </w:r>
    </w:p>
    <w:p w14:paraId="25633A1D">
      <w:pPr>
        <w:widowControl/>
        <w:spacing w:line="499" w:lineRule="atLeast"/>
        <w:jc w:val="left"/>
        <w:rPr>
          <w:rFonts w:ascii="宋体" w:hAnsi="宋体" w:eastAsia="宋体" w:cs="宋体"/>
          <w:sz w:val="24"/>
        </w:rPr>
      </w:pPr>
      <w:r>
        <w:rPr>
          <w:rFonts w:hint="eastAsia" w:ascii="宋体" w:hAnsi="宋体" w:eastAsia="宋体" w:cs="宋体"/>
          <w:color w:val="000000"/>
          <w:sz w:val="24"/>
        </w:rPr>
        <w:t>                  法定代表人签名：</w:t>
      </w:r>
    </w:p>
    <w:p w14:paraId="303B9E2D">
      <w:pPr>
        <w:widowControl/>
        <w:spacing w:line="499" w:lineRule="atLeast"/>
        <w:jc w:val="center"/>
        <w:rPr>
          <w:rFonts w:ascii="宋体" w:hAnsi="宋体" w:eastAsia="宋体" w:cs="宋体"/>
          <w:sz w:val="24"/>
        </w:rPr>
      </w:pPr>
      <w:r>
        <w:rPr>
          <w:rFonts w:hint="eastAsia" w:ascii="宋体" w:hAnsi="宋体" w:eastAsia="宋体" w:cs="宋体"/>
          <w:color w:val="000000"/>
          <w:sz w:val="24"/>
        </w:rPr>
        <w:t>                   单位名称（盖章）：</w:t>
      </w:r>
    </w:p>
    <w:p w14:paraId="6EC277C3">
      <w:pPr>
        <w:widowControl/>
        <w:spacing w:line="499" w:lineRule="atLeast"/>
        <w:jc w:val="center"/>
        <w:rPr>
          <w:rFonts w:ascii="宋体" w:hAnsi="宋体" w:eastAsia="宋体" w:cs="宋体"/>
          <w:sz w:val="24"/>
        </w:rPr>
      </w:pPr>
      <w:r>
        <w:rPr>
          <w:rFonts w:hint="eastAsia" w:ascii="宋体" w:hAnsi="宋体" w:eastAsia="宋体" w:cs="宋体"/>
          <w:color w:val="000000"/>
          <w:sz w:val="24"/>
        </w:rPr>
        <w:t>                      年月日</w:t>
      </w:r>
    </w:p>
    <w:p w14:paraId="0DED044B">
      <w:pPr>
        <w:pStyle w:val="13"/>
        <w:spacing w:beforeAutospacing="0" w:afterAutospacing="0"/>
        <w:jc w:val="center"/>
      </w:pPr>
    </w:p>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9"/>
    <w:bookmarkEnd w:id="182"/>
    <w:bookmarkEnd w:id="186"/>
    <w:bookmarkEnd w:id="187"/>
    <w:bookmarkEnd w:id="189"/>
    <w:bookmarkEnd w:id="190"/>
    <w:bookmarkEnd w:id="191"/>
    <w:bookmarkEnd w:id="192"/>
    <w:bookmarkEnd w:id="193"/>
    <w:bookmarkEnd w:id="194"/>
    <w:bookmarkEnd w:id="195"/>
    <w:bookmarkEnd w:id="196"/>
    <w:bookmarkEnd w:id="197"/>
    <w:p w14:paraId="644FD19A"/>
    <w:p w14:paraId="3F0254F1">
      <w:pPr>
        <w:pStyle w:val="13"/>
        <w:spacing w:beforeAutospacing="0" w:afterAutospacing="0"/>
        <w:jc w:val="center"/>
        <w:rPr>
          <w:rFonts w:ascii="宋体" w:hAnsi="宋体" w:eastAsia="宋体" w:cs="宋体"/>
          <w:b/>
          <w:color w:val="000000"/>
          <w:sz w:val="32"/>
          <w:szCs w:val="32"/>
        </w:rPr>
      </w:pPr>
    </w:p>
    <w:p w14:paraId="46748952">
      <w:pPr>
        <w:pStyle w:val="13"/>
        <w:spacing w:beforeAutospacing="0" w:afterAutospacing="0"/>
        <w:jc w:val="center"/>
        <w:rPr>
          <w:rFonts w:ascii="宋体" w:hAnsi="宋体" w:eastAsia="宋体" w:cs="宋体"/>
          <w:b/>
          <w:color w:val="000000"/>
          <w:sz w:val="32"/>
          <w:szCs w:val="32"/>
        </w:rPr>
      </w:pPr>
      <w:r>
        <w:rPr>
          <w:rFonts w:hint="eastAsia" w:ascii="宋体" w:hAnsi="宋体" w:eastAsia="宋体" w:cs="宋体"/>
          <w:b/>
          <w:color w:val="000000"/>
          <w:sz w:val="32"/>
          <w:szCs w:val="32"/>
        </w:rPr>
        <w:t>质疑函范本</w:t>
      </w:r>
    </w:p>
    <w:p w14:paraId="3B564B32">
      <w:pPr>
        <w:pStyle w:val="13"/>
        <w:spacing w:before="290" w:beforeAutospacing="0" w:afterAutospacing="0" w:line="360" w:lineRule="auto"/>
        <w:jc w:val="both"/>
        <w:rPr>
          <w:rFonts w:ascii="宋体" w:hAnsi="宋体" w:eastAsia="宋体" w:cs="宋体"/>
        </w:rPr>
      </w:pPr>
      <w:r>
        <w:rPr>
          <w:rFonts w:hint="eastAsia" w:ascii="宋体" w:hAnsi="宋体" w:eastAsia="宋体" w:cs="宋体"/>
          <w:color w:val="000000"/>
        </w:rPr>
        <w:t>一、质疑供应商基本信息</w:t>
      </w:r>
    </w:p>
    <w:p w14:paraId="4532C123">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质疑供应商：</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2E52DD82">
      <w:pPr>
        <w:pStyle w:val="13"/>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w:t>
      </w:r>
    </w:p>
    <w:p w14:paraId="2AB95296">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10AE8510">
      <w:pPr>
        <w:pStyle w:val="13"/>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联系人：</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50C277A8">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xml:space="preserve">                                           </w:t>
      </w:r>
    </w:p>
    <w:p w14:paraId="58A1B165">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授权代表：</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04F22F94">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联系电话：</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69624F36">
      <w:pPr>
        <w:pStyle w:val="13"/>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地址： </w:t>
      </w:r>
      <w:r>
        <w:rPr>
          <w:rFonts w:hint="eastAsia" w:ascii="宋体" w:hAnsi="宋体" w:eastAsia="宋体" w:cs="宋体"/>
          <w:color w:val="000000"/>
          <w:u w:val="single"/>
        </w:rPr>
        <w:t>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48CCD92C">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邮编：</w:t>
      </w:r>
      <w:r>
        <w:rPr>
          <w:rFonts w:hint="eastAsia" w:ascii="宋体" w:hAnsi="宋体" w:eastAsia="宋体" w:cs="宋体"/>
          <w:color w:val="000000"/>
          <w:u w:val="single"/>
        </w:rPr>
        <w:t xml:space="preserve">                                </w:t>
      </w:r>
    </w:p>
    <w:p w14:paraId="68BD6759">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二、质疑项目基本情况</w:t>
      </w:r>
    </w:p>
    <w:p w14:paraId="13B36C64">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质疑项目的名称：</w:t>
      </w:r>
      <w:r>
        <w:rPr>
          <w:rFonts w:hint="eastAsia" w:ascii="宋体" w:hAnsi="宋体" w:eastAsia="宋体" w:cs="宋体"/>
          <w:color w:val="000000"/>
          <w:u w:val="single"/>
        </w:rPr>
        <w:t xml:space="preserve">                            </w:t>
      </w:r>
    </w:p>
    <w:p w14:paraId="1037D3FC">
      <w:pPr>
        <w:pStyle w:val="13"/>
        <w:spacing w:beforeAutospacing="0" w:afterAutospacing="0" w:line="360" w:lineRule="auto"/>
        <w:jc w:val="both"/>
        <w:rPr>
          <w:rFonts w:ascii="宋体" w:hAnsi="宋体" w:eastAsia="宋体" w:cs="宋体"/>
          <w:color w:val="000000"/>
          <w:u w:val="single"/>
        </w:rPr>
      </w:pPr>
      <w:r>
        <w:rPr>
          <w:rFonts w:hint="eastAsia" w:ascii="宋体" w:hAnsi="宋体" w:eastAsia="宋体" w:cs="宋体"/>
          <w:color w:val="000000"/>
        </w:rPr>
        <w:t>质疑项目的编号：</w:t>
      </w:r>
      <w:r>
        <w:rPr>
          <w:rFonts w:hint="eastAsia" w:ascii="宋体" w:hAnsi="宋体" w:eastAsia="宋体" w:cs="宋体"/>
          <w:color w:val="000000"/>
          <w:u w:val="single"/>
        </w:rPr>
        <w:t xml:space="preserve">                          </w:t>
      </w:r>
    </w:p>
    <w:p w14:paraId="6422C580">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p>
    <w:p w14:paraId="65208BF8">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采购人名称：</w:t>
      </w:r>
      <w:r>
        <w:rPr>
          <w:rFonts w:hint="eastAsia" w:ascii="宋体" w:hAnsi="宋体" w:eastAsia="宋体" w:cs="宋体"/>
          <w:color w:val="000000"/>
          <w:u w:val="single"/>
        </w:rPr>
        <w:t xml:space="preserve">                            </w:t>
      </w:r>
    </w:p>
    <w:p w14:paraId="2EC80CE3">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采购文件获取日期：</w:t>
      </w:r>
      <w:r>
        <w:rPr>
          <w:rFonts w:hint="eastAsia" w:ascii="宋体" w:hAnsi="宋体" w:eastAsia="宋体" w:cs="宋体"/>
          <w:color w:val="000000"/>
          <w:u w:val="single"/>
        </w:rPr>
        <w:t xml:space="preserve">                             </w:t>
      </w:r>
    </w:p>
    <w:p w14:paraId="5C2752F9">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三、质疑事项具体内容</w:t>
      </w:r>
    </w:p>
    <w:p w14:paraId="547DBA4E">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质疑事项1：</w:t>
      </w:r>
      <w:r>
        <w:rPr>
          <w:rFonts w:hint="eastAsia" w:ascii="宋体" w:hAnsi="宋体" w:eastAsia="宋体" w:cs="宋体"/>
          <w:color w:val="000000"/>
          <w:u w:val="single"/>
        </w:rPr>
        <w:t xml:space="preserve">                             </w:t>
      </w:r>
    </w:p>
    <w:p w14:paraId="05D9FC42">
      <w:pPr>
        <w:pStyle w:val="13"/>
        <w:spacing w:beforeAutospacing="0" w:afterAutospacing="0" w:line="360" w:lineRule="auto"/>
        <w:rPr>
          <w:rFonts w:ascii="宋体" w:hAnsi="宋体" w:eastAsia="宋体" w:cs="宋体"/>
        </w:rPr>
      </w:pPr>
      <w:r>
        <w:rPr>
          <w:rFonts w:hint="eastAsia" w:ascii="宋体" w:hAnsi="宋体" w:eastAsia="宋体" w:cs="宋体"/>
          <w:color w:val="000000"/>
        </w:rPr>
        <w:t>事实依据：</w:t>
      </w:r>
      <w:r>
        <w:rPr>
          <w:rFonts w:hint="eastAsia" w:ascii="宋体" w:hAnsi="宋体" w:eastAsia="宋体" w:cs="宋体"/>
          <w:color w:val="000000"/>
          <w:u w:val="single"/>
        </w:rPr>
        <w:t xml:space="preserve">                                                   </w:t>
      </w:r>
    </w:p>
    <w:p w14:paraId="12CAD88C">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法律依据：</w:t>
      </w:r>
      <w:r>
        <w:rPr>
          <w:rFonts w:hint="eastAsia" w:ascii="宋体" w:hAnsi="宋体" w:eastAsia="宋体" w:cs="宋体"/>
          <w:color w:val="000000"/>
          <w:u w:val="single"/>
        </w:rPr>
        <w:t xml:space="preserve">                                                    </w:t>
      </w:r>
    </w:p>
    <w:p w14:paraId="207A9FB5">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质疑事项2</w:t>
      </w:r>
    </w:p>
    <w:p w14:paraId="3A23D516">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w:t>
      </w:r>
    </w:p>
    <w:p w14:paraId="1120A892">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四、与质疑事项相关的质疑请求</w:t>
      </w:r>
    </w:p>
    <w:p w14:paraId="142AAE1E">
      <w:pPr>
        <w:pStyle w:val="13"/>
        <w:spacing w:beforeAutospacing="0" w:afterAutospacing="0" w:line="360" w:lineRule="auto"/>
        <w:jc w:val="both"/>
        <w:rPr>
          <w:rFonts w:ascii="宋体" w:hAnsi="宋体" w:eastAsia="宋体" w:cs="宋体"/>
        </w:rPr>
      </w:pPr>
      <w:r>
        <w:rPr>
          <w:rFonts w:hint="eastAsia" w:ascii="宋体" w:hAnsi="宋体" w:eastAsia="宋体" w:cs="宋体"/>
          <w:color w:val="000000"/>
        </w:rPr>
        <w:t>请求：</w:t>
      </w:r>
      <w:r>
        <w:rPr>
          <w:rFonts w:hint="eastAsia" w:ascii="宋体" w:hAnsi="宋体" w:eastAsia="宋体" w:cs="宋体"/>
          <w:color w:val="000000"/>
          <w:u w:val="single"/>
        </w:rPr>
        <w:t xml:space="preserve">                                                          </w:t>
      </w:r>
    </w:p>
    <w:p w14:paraId="19894BBE">
      <w:pPr>
        <w:pStyle w:val="13"/>
        <w:spacing w:beforeAutospacing="0" w:afterAutospacing="0"/>
        <w:jc w:val="both"/>
        <w:rPr>
          <w:rFonts w:ascii="宋体" w:hAnsi="宋体" w:eastAsia="宋体" w:cs="宋体"/>
        </w:rPr>
      </w:pPr>
      <w:r>
        <w:rPr>
          <w:rFonts w:hint="eastAsia" w:ascii="宋体" w:hAnsi="宋体" w:eastAsia="宋体" w:cs="宋体"/>
          <w:color w:val="000000"/>
        </w:rPr>
        <w:t xml:space="preserve">签字(签章)：                 公章：               日期：    </w:t>
      </w:r>
    </w:p>
    <w:p w14:paraId="7E21E6BB">
      <w:pPr>
        <w:pStyle w:val="13"/>
        <w:spacing w:beforeAutospacing="0" w:afterAutospacing="0" w:line="0" w:lineRule="atLeast"/>
        <w:jc w:val="both"/>
        <w:rPr>
          <w:rFonts w:ascii="宋体" w:hAnsi="宋体" w:eastAsia="宋体" w:cs="宋体"/>
        </w:rPr>
      </w:pPr>
      <w:r>
        <w:rPr>
          <w:rFonts w:hint="eastAsia" w:ascii="宋体" w:hAnsi="宋体" w:eastAsia="宋体" w:cs="宋体"/>
          <w:b/>
          <w:color w:val="000000"/>
        </w:rPr>
        <w:t>质疑函制作说明：</w:t>
      </w:r>
    </w:p>
    <w:p w14:paraId="03EC454B">
      <w:pPr>
        <w:pStyle w:val="13"/>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1.供应商提出质疑时，应提交质疑函和必要的证明材料。</w:t>
      </w:r>
    </w:p>
    <w:p w14:paraId="49C2DD3F">
      <w:pPr>
        <w:pStyle w:val="13"/>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2AF2194">
      <w:pPr>
        <w:pStyle w:val="13"/>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3.质疑供应商若对项目的某一分包进行质疑，质疑函中应列明具体分包号。</w:t>
      </w:r>
    </w:p>
    <w:p w14:paraId="33EBB222">
      <w:pPr>
        <w:pStyle w:val="13"/>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4.质疑函的质疑事项应具体、明确，并有必要的事实依据和法律依据。</w:t>
      </w:r>
    </w:p>
    <w:p w14:paraId="7BAB1252">
      <w:pPr>
        <w:pStyle w:val="13"/>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5.质疑函的质疑请求应与质疑事项相关。</w:t>
      </w:r>
    </w:p>
    <w:p w14:paraId="7E6BD4E4">
      <w:pPr>
        <w:pStyle w:val="13"/>
        <w:widowControl/>
        <w:spacing w:beforeAutospacing="0" w:afterAutospacing="0" w:line="0" w:lineRule="atLeast"/>
        <w:ind w:firstLine="480"/>
        <w:rPr>
          <w:rFonts w:ascii="宋体" w:hAnsi="宋体" w:eastAsia="宋体" w:cs="宋体"/>
        </w:rPr>
      </w:pPr>
      <w:r>
        <w:rPr>
          <w:rFonts w:hint="eastAsia" w:ascii="宋体" w:hAnsi="宋体" w:eastAsia="宋体" w:cs="宋体"/>
          <w:color w:val="000000"/>
        </w:rPr>
        <w:t>6.质疑供应商为自然人的，质疑函应由本人签字；质疑供应商为法人或者其他组织的，质疑函应由法定代表人、主要负责人，或者其授权代表签字或者盖章，并加盖公章。</w:t>
      </w:r>
    </w:p>
    <w:p w14:paraId="75593E3E">
      <w:pPr>
        <w:pStyle w:val="13"/>
        <w:spacing w:beforeAutospacing="0" w:afterAutospacing="0"/>
        <w:ind w:firstLine="420"/>
        <w:jc w:val="both"/>
        <w:rPr>
          <w:rFonts w:ascii="宋体" w:hAnsi="宋体" w:eastAsia="宋体" w:cs="宋体"/>
        </w:rPr>
      </w:pPr>
      <w:r>
        <w:rPr>
          <w:rFonts w:hint="eastAsia" w:ascii="宋体" w:hAnsi="宋体" w:eastAsia="宋体" w:cs="宋体"/>
        </w:rPr>
        <w:t> </w:t>
      </w:r>
    </w:p>
    <w:p w14:paraId="29F476D2"/>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幼圆">
    <w:altName w:val="宋体"/>
    <w:panose1 w:val="0201050906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73192">
    <w:pPr>
      <w:pStyle w:val="1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633EBE5">
                          <w:pPr>
                            <w:pStyle w:val="10"/>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3633EBE5">
                    <w:pPr>
                      <w:pStyle w:val="10"/>
                    </w:pPr>
                    <w:r>
                      <w:rPr>
                        <w:rFonts w:hint="eastAsia"/>
                      </w:rPr>
                      <w:fldChar w:fldCharType="begin"/>
                    </w:r>
                    <w:r>
                      <w:rPr>
                        <w:rFonts w:hint="eastAsia"/>
                      </w:rPr>
                      <w:instrText xml:space="preserve"> PAGE  \* MERGEFORMAT </w:instrText>
                    </w:r>
                    <w:r>
                      <w:rPr>
                        <w:rFonts w:hint="eastAsia"/>
                      </w:rPr>
                      <w:fldChar w:fldCharType="separate"/>
                    </w:r>
                    <w:r>
                      <w:t>23</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4760C48"/>
    <w:multiLevelType w:val="singleLevel"/>
    <w:tmpl w:val="64760C48"/>
    <w:lvl w:ilvl="0" w:tentative="0">
      <w:start w:val="3"/>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k4NjU1YjFlNGU5NzUzMjk3ZTliNzAxZjVlYmM3OTYifQ=="/>
  </w:docVars>
  <w:rsids>
    <w:rsidRoot w:val="00172A27"/>
    <w:rsid w:val="00075369"/>
    <w:rsid w:val="00077137"/>
    <w:rsid w:val="000820F1"/>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31D97"/>
    <w:rsid w:val="00552DFB"/>
    <w:rsid w:val="005E57E9"/>
    <w:rsid w:val="006932C0"/>
    <w:rsid w:val="006B6F15"/>
    <w:rsid w:val="007A220C"/>
    <w:rsid w:val="007A7B98"/>
    <w:rsid w:val="007B1CF4"/>
    <w:rsid w:val="007E76E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6132"/>
    <w:rsid w:val="00FE3C91"/>
    <w:rsid w:val="014036E0"/>
    <w:rsid w:val="015754F6"/>
    <w:rsid w:val="015C3D17"/>
    <w:rsid w:val="01643381"/>
    <w:rsid w:val="01C209CB"/>
    <w:rsid w:val="02851591"/>
    <w:rsid w:val="02B4772F"/>
    <w:rsid w:val="02BD5381"/>
    <w:rsid w:val="02D505AD"/>
    <w:rsid w:val="03365B5E"/>
    <w:rsid w:val="034E4AD1"/>
    <w:rsid w:val="037E0789"/>
    <w:rsid w:val="03913FFC"/>
    <w:rsid w:val="04CF1FA6"/>
    <w:rsid w:val="056E5657"/>
    <w:rsid w:val="05AD05DE"/>
    <w:rsid w:val="05BD3D79"/>
    <w:rsid w:val="0621639E"/>
    <w:rsid w:val="062C42CE"/>
    <w:rsid w:val="06867FD2"/>
    <w:rsid w:val="068A6E34"/>
    <w:rsid w:val="06B12B65"/>
    <w:rsid w:val="07994E3B"/>
    <w:rsid w:val="07A02A3F"/>
    <w:rsid w:val="07A40F48"/>
    <w:rsid w:val="07B54B15"/>
    <w:rsid w:val="07F651C7"/>
    <w:rsid w:val="080A468F"/>
    <w:rsid w:val="08230622"/>
    <w:rsid w:val="0854758E"/>
    <w:rsid w:val="088766C0"/>
    <w:rsid w:val="08992D34"/>
    <w:rsid w:val="08A02A5A"/>
    <w:rsid w:val="09132265"/>
    <w:rsid w:val="09FE79EC"/>
    <w:rsid w:val="0A4A3E4A"/>
    <w:rsid w:val="0A4C5E14"/>
    <w:rsid w:val="0AB319EF"/>
    <w:rsid w:val="0ABC363A"/>
    <w:rsid w:val="0AD8294B"/>
    <w:rsid w:val="0B4B3B00"/>
    <w:rsid w:val="0B8A23C1"/>
    <w:rsid w:val="0BAE3813"/>
    <w:rsid w:val="0BFF003E"/>
    <w:rsid w:val="0C2D57D1"/>
    <w:rsid w:val="0C660D84"/>
    <w:rsid w:val="0C9413AC"/>
    <w:rsid w:val="0D4D2FC1"/>
    <w:rsid w:val="0D7F3E0A"/>
    <w:rsid w:val="0DAB4BFF"/>
    <w:rsid w:val="0DB46D20"/>
    <w:rsid w:val="0DDF6F9F"/>
    <w:rsid w:val="0DF76096"/>
    <w:rsid w:val="0E0362D5"/>
    <w:rsid w:val="0E966A8C"/>
    <w:rsid w:val="0EE61CD2"/>
    <w:rsid w:val="0EF12AE6"/>
    <w:rsid w:val="0F6D24BC"/>
    <w:rsid w:val="0F7D537E"/>
    <w:rsid w:val="10007707"/>
    <w:rsid w:val="111530F5"/>
    <w:rsid w:val="11AB711C"/>
    <w:rsid w:val="11CA1092"/>
    <w:rsid w:val="120945EA"/>
    <w:rsid w:val="126B306E"/>
    <w:rsid w:val="12F015A0"/>
    <w:rsid w:val="143E4A1F"/>
    <w:rsid w:val="14477BA7"/>
    <w:rsid w:val="147A5C37"/>
    <w:rsid w:val="148176D0"/>
    <w:rsid w:val="154D0C92"/>
    <w:rsid w:val="15D47A9F"/>
    <w:rsid w:val="165C7636"/>
    <w:rsid w:val="165E3694"/>
    <w:rsid w:val="169263C8"/>
    <w:rsid w:val="16A61788"/>
    <w:rsid w:val="16AF4856"/>
    <w:rsid w:val="16B46BFB"/>
    <w:rsid w:val="16F07B27"/>
    <w:rsid w:val="174D6D27"/>
    <w:rsid w:val="17666D47"/>
    <w:rsid w:val="176C3651"/>
    <w:rsid w:val="176F0FD8"/>
    <w:rsid w:val="17732C32"/>
    <w:rsid w:val="18152A18"/>
    <w:rsid w:val="18BC4109"/>
    <w:rsid w:val="193260E4"/>
    <w:rsid w:val="195D57D8"/>
    <w:rsid w:val="19835197"/>
    <w:rsid w:val="1A4F2C83"/>
    <w:rsid w:val="1AD2708F"/>
    <w:rsid w:val="1AD75285"/>
    <w:rsid w:val="1B5F5046"/>
    <w:rsid w:val="1B9509DF"/>
    <w:rsid w:val="1BA002D8"/>
    <w:rsid w:val="1C13277E"/>
    <w:rsid w:val="1CAC4347"/>
    <w:rsid w:val="1CD54997"/>
    <w:rsid w:val="1D1C1092"/>
    <w:rsid w:val="1D605A5A"/>
    <w:rsid w:val="1D812873"/>
    <w:rsid w:val="1D8C6793"/>
    <w:rsid w:val="1DE2466D"/>
    <w:rsid w:val="1DFD1285"/>
    <w:rsid w:val="1EAA610E"/>
    <w:rsid w:val="1EC70509"/>
    <w:rsid w:val="1EE6018D"/>
    <w:rsid w:val="1F4A0271"/>
    <w:rsid w:val="1FC7762D"/>
    <w:rsid w:val="20677E3C"/>
    <w:rsid w:val="20733730"/>
    <w:rsid w:val="209429D0"/>
    <w:rsid w:val="20A83FAF"/>
    <w:rsid w:val="20CE42A1"/>
    <w:rsid w:val="21114898"/>
    <w:rsid w:val="211F1734"/>
    <w:rsid w:val="215025DE"/>
    <w:rsid w:val="21CC717D"/>
    <w:rsid w:val="22424AA4"/>
    <w:rsid w:val="226E2973"/>
    <w:rsid w:val="228C104B"/>
    <w:rsid w:val="22D16A5E"/>
    <w:rsid w:val="22F62B8A"/>
    <w:rsid w:val="23254D08"/>
    <w:rsid w:val="23534E2B"/>
    <w:rsid w:val="23E12CD1"/>
    <w:rsid w:val="242C02D7"/>
    <w:rsid w:val="24533DC2"/>
    <w:rsid w:val="2532334D"/>
    <w:rsid w:val="263D58D6"/>
    <w:rsid w:val="26750FF7"/>
    <w:rsid w:val="27194423"/>
    <w:rsid w:val="27290FC5"/>
    <w:rsid w:val="280F2F92"/>
    <w:rsid w:val="28FE41FC"/>
    <w:rsid w:val="290F208E"/>
    <w:rsid w:val="29345C52"/>
    <w:rsid w:val="2996274E"/>
    <w:rsid w:val="29BD7D3C"/>
    <w:rsid w:val="2A4648B7"/>
    <w:rsid w:val="2A4D7312"/>
    <w:rsid w:val="2B005440"/>
    <w:rsid w:val="2B9409BE"/>
    <w:rsid w:val="2BCA6741"/>
    <w:rsid w:val="2BFD6CEE"/>
    <w:rsid w:val="2C03574A"/>
    <w:rsid w:val="2C0A4EA8"/>
    <w:rsid w:val="2C7B3B05"/>
    <w:rsid w:val="2CC277F5"/>
    <w:rsid w:val="2CD45AC9"/>
    <w:rsid w:val="2CEA709A"/>
    <w:rsid w:val="2D2F0F51"/>
    <w:rsid w:val="2D39592C"/>
    <w:rsid w:val="2DC25921"/>
    <w:rsid w:val="2DD41AF8"/>
    <w:rsid w:val="2E036859"/>
    <w:rsid w:val="2E5E7AF7"/>
    <w:rsid w:val="2E782484"/>
    <w:rsid w:val="2EE73822"/>
    <w:rsid w:val="2F9B28CE"/>
    <w:rsid w:val="2FA80D19"/>
    <w:rsid w:val="2FAD4FD9"/>
    <w:rsid w:val="2FB346FB"/>
    <w:rsid w:val="2FB8424E"/>
    <w:rsid w:val="2FC02334"/>
    <w:rsid w:val="2FD83104"/>
    <w:rsid w:val="2FFA5778"/>
    <w:rsid w:val="30495C84"/>
    <w:rsid w:val="30650005"/>
    <w:rsid w:val="30C10112"/>
    <w:rsid w:val="310333AD"/>
    <w:rsid w:val="31522189"/>
    <w:rsid w:val="32877D96"/>
    <w:rsid w:val="329E6CD8"/>
    <w:rsid w:val="32D305D1"/>
    <w:rsid w:val="33440753"/>
    <w:rsid w:val="334B4AB3"/>
    <w:rsid w:val="33773E42"/>
    <w:rsid w:val="33D04B10"/>
    <w:rsid w:val="34E14EA2"/>
    <w:rsid w:val="34E346A0"/>
    <w:rsid w:val="359B1151"/>
    <w:rsid w:val="35AD49A2"/>
    <w:rsid w:val="36165D30"/>
    <w:rsid w:val="36172BC3"/>
    <w:rsid w:val="36CC7C95"/>
    <w:rsid w:val="36EB650A"/>
    <w:rsid w:val="370E192F"/>
    <w:rsid w:val="376E2B22"/>
    <w:rsid w:val="378133A9"/>
    <w:rsid w:val="3781684D"/>
    <w:rsid w:val="37A61E10"/>
    <w:rsid w:val="383A233E"/>
    <w:rsid w:val="39101F1B"/>
    <w:rsid w:val="392D7EB3"/>
    <w:rsid w:val="39720FC7"/>
    <w:rsid w:val="39987E7E"/>
    <w:rsid w:val="39A84137"/>
    <w:rsid w:val="39BC591B"/>
    <w:rsid w:val="39CD52E9"/>
    <w:rsid w:val="39FA28E7"/>
    <w:rsid w:val="3A636694"/>
    <w:rsid w:val="3A64388F"/>
    <w:rsid w:val="3AB02FA5"/>
    <w:rsid w:val="3B0B043D"/>
    <w:rsid w:val="3BDF034A"/>
    <w:rsid w:val="3BDF2457"/>
    <w:rsid w:val="3BE473AB"/>
    <w:rsid w:val="3BFD40A5"/>
    <w:rsid w:val="3CC36DCD"/>
    <w:rsid w:val="3D23372C"/>
    <w:rsid w:val="3D6A4AAA"/>
    <w:rsid w:val="3D6F0EF6"/>
    <w:rsid w:val="3DB159B2"/>
    <w:rsid w:val="3DD025A5"/>
    <w:rsid w:val="3DF47CA0"/>
    <w:rsid w:val="3DF80C94"/>
    <w:rsid w:val="3E064F5A"/>
    <w:rsid w:val="3E161B6B"/>
    <w:rsid w:val="3E1F0B6E"/>
    <w:rsid w:val="3E496B6B"/>
    <w:rsid w:val="3E7F5998"/>
    <w:rsid w:val="3F0056DB"/>
    <w:rsid w:val="3F0156C1"/>
    <w:rsid w:val="3F1A3023"/>
    <w:rsid w:val="3F243A9D"/>
    <w:rsid w:val="3FC26720"/>
    <w:rsid w:val="40260F22"/>
    <w:rsid w:val="40350295"/>
    <w:rsid w:val="404C551E"/>
    <w:rsid w:val="406E1D8D"/>
    <w:rsid w:val="407D6686"/>
    <w:rsid w:val="413C37E5"/>
    <w:rsid w:val="41922B99"/>
    <w:rsid w:val="42053C57"/>
    <w:rsid w:val="42214BD9"/>
    <w:rsid w:val="42324DFA"/>
    <w:rsid w:val="426B5168"/>
    <w:rsid w:val="42AF59D8"/>
    <w:rsid w:val="431353F3"/>
    <w:rsid w:val="43455446"/>
    <w:rsid w:val="436037BB"/>
    <w:rsid w:val="43A041DC"/>
    <w:rsid w:val="44DA072F"/>
    <w:rsid w:val="454D0F8E"/>
    <w:rsid w:val="455156D0"/>
    <w:rsid w:val="45FC0A54"/>
    <w:rsid w:val="461D469A"/>
    <w:rsid w:val="46431172"/>
    <w:rsid w:val="466976E6"/>
    <w:rsid w:val="46EA0CE7"/>
    <w:rsid w:val="470D4256"/>
    <w:rsid w:val="472208AE"/>
    <w:rsid w:val="47616EFE"/>
    <w:rsid w:val="47704C41"/>
    <w:rsid w:val="477F6C5D"/>
    <w:rsid w:val="47B925F3"/>
    <w:rsid w:val="48771F96"/>
    <w:rsid w:val="48910AEC"/>
    <w:rsid w:val="48B3170D"/>
    <w:rsid w:val="493C7DE9"/>
    <w:rsid w:val="49D62B33"/>
    <w:rsid w:val="49F65624"/>
    <w:rsid w:val="4A1E13B4"/>
    <w:rsid w:val="4A2C49B0"/>
    <w:rsid w:val="4A470BBA"/>
    <w:rsid w:val="4A7D1B0F"/>
    <w:rsid w:val="4AAC50D1"/>
    <w:rsid w:val="4AE46F73"/>
    <w:rsid w:val="4B0C37B9"/>
    <w:rsid w:val="4BB56480"/>
    <w:rsid w:val="4BC33B49"/>
    <w:rsid w:val="4BD12EAB"/>
    <w:rsid w:val="4C5A2B74"/>
    <w:rsid w:val="4CDF6B74"/>
    <w:rsid w:val="4D2D20D9"/>
    <w:rsid w:val="4D3C69F8"/>
    <w:rsid w:val="4DA074F7"/>
    <w:rsid w:val="4DA33F07"/>
    <w:rsid w:val="4DD45797"/>
    <w:rsid w:val="4DDE52C0"/>
    <w:rsid w:val="4DFC2488"/>
    <w:rsid w:val="4F337FD5"/>
    <w:rsid w:val="4F5D1E25"/>
    <w:rsid w:val="4FC2427A"/>
    <w:rsid w:val="4FD01CC8"/>
    <w:rsid w:val="502002B4"/>
    <w:rsid w:val="50A0169A"/>
    <w:rsid w:val="50A1397F"/>
    <w:rsid w:val="51204232"/>
    <w:rsid w:val="513A0A9F"/>
    <w:rsid w:val="513C4391"/>
    <w:rsid w:val="51917AF0"/>
    <w:rsid w:val="51C12B9E"/>
    <w:rsid w:val="51C75DFE"/>
    <w:rsid w:val="52654341"/>
    <w:rsid w:val="52741FCB"/>
    <w:rsid w:val="52D06B10"/>
    <w:rsid w:val="52D52291"/>
    <w:rsid w:val="533D58C6"/>
    <w:rsid w:val="53536515"/>
    <w:rsid w:val="536B21BA"/>
    <w:rsid w:val="53A862CC"/>
    <w:rsid w:val="542A0FDA"/>
    <w:rsid w:val="546C11F4"/>
    <w:rsid w:val="54776BB6"/>
    <w:rsid w:val="54ED53D0"/>
    <w:rsid w:val="55091CCC"/>
    <w:rsid w:val="55C67DF5"/>
    <w:rsid w:val="55D16898"/>
    <w:rsid w:val="55F83E72"/>
    <w:rsid w:val="55FA184D"/>
    <w:rsid w:val="5612303A"/>
    <w:rsid w:val="56307253"/>
    <w:rsid w:val="56453199"/>
    <w:rsid w:val="581B5AAA"/>
    <w:rsid w:val="582F6DAB"/>
    <w:rsid w:val="58366D88"/>
    <w:rsid w:val="58AD45AF"/>
    <w:rsid w:val="58D4718C"/>
    <w:rsid w:val="59274DA4"/>
    <w:rsid w:val="59A82CA5"/>
    <w:rsid w:val="5AD514E8"/>
    <w:rsid w:val="5AD536B4"/>
    <w:rsid w:val="5AEA4CCC"/>
    <w:rsid w:val="5B031B11"/>
    <w:rsid w:val="5B96574B"/>
    <w:rsid w:val="5BAC35E9"/>
    <w:rsid w:val="5C2A4141"/>
    <w:rsid w:val="5C5A652B"/>
    <w:rsid w:val="5CAC7619"/>
    <w:rsid w:val="5CDF179C"/>
    <w:rsid w:val="5D5C2463"/>
    <w:rsid w:val="5D972077"/>
    <w:rsid w:val="5DE138D8"/>
    <w:rsid w:val="5E1921ED"/>
    <w:rsid w:val="5F7D5E8E"/>
    <w:rsid w:val="5F7F522A"/>
    <w:rsid w:val="601337BB"/>
    <w:rsid w:val="60D51B2B"/>
    <w:rsid w:val="617F2D1C"/>
    <w:rsid w:val="6229168F"/>
    <w:rsid w:val="6283706E"/>
    <w:rsid w:val="628526BF"/>
    <w:rsid w:val="62A87E16"/>
    <w:rsid w:val="62CA561A"/>
    <w:rsid w:val="6313315F"/>
    <w:rsid w:val="637172BE"/>
    <w:rsid w:val="63CD6C1F"/>
    <w:rsid w:val="64242C9C"/>
    <w:rsid w:val="64A56430"/>
    <w:rsid w:val="6531690D"/>
    <w:rsid w:val="65A250DB"/>
    <w:rsid w:val="65BB2793"/>
    <w:rsid w:val="65FB4817"/>
    <w:rsid w:val="667027CF"/>
    <w:rsid w:val="6688694C"/>
    <w:rsid w:val="668C5F28"/>
    <w:rsid w:val="66E0021E"/>
    <w:rsid w:val="67007EEE"/>
    <w:rsid w:val="670D4A21"/>
    <w:rsid w:val="673B18DC"/>
    <w:rsid w:val="67B6759E"/>
    <w:rsid w:val="68245589"/>
    <w:rsid w:val="68777DD2"/>
    <w:rsid w:val="68DE0B5A"/>
    <w:rsid w:val="69312EC0"/>
    <w:rsid w:val="69760990"/>
    <w:rsid w:val="69983CE0"/>
    <w:rsid w:val="69DB78F0"/>
    <w:rsid w:val="6A1C1694"/>
    <w:rsid w:val="6A751DB0"/>
    <w:rsid w:val="6AB95533"/>
    <w:rsid w:val="6ADE7537"/>
    <w:rsid w:val="6B037E0E"/>
    <w:rsid w:val="6BDD2B0A"/>
    <w:rsid w:val="6BDE41BB"/>
    <w:rsid w:val="6BF40AC7"/>
    <w:rsid w:val="6C200E33"/>
    <w:rsid w:val="6C5462A8"/>
    <w:rsid w:val="6C917FD7"/>
    <w:rsid w:val="6CE8644B"/>
    <w:rsid w:val="6D702546"/>
    <w:rsid w:val="6DE42E04"/>
    <w:rsid w:val="6DEE183F"/>
    <w:rsid w:val="6F3574FF"/>
    <w:rsid w:val="6F6F7A6D"/>
    <w:rsid w:val="6FBB0862"/>
    <w:rsid w:val="71641E18"/>
    <w:rsid w:val="71816E6E"/>
    <w:rsid w:val="71BB7860"/>
    <w:rsid w:val="72440385"/>
    <w:rsid w:val="729E65DE"/>
    <w:rsid w:val="7363682B"/>
    <w:rsid w:val="73761484"/>
    <w:rsid w:val="743F3C99"/>
    <w:rsid w:val="74835482"/>
    <w:rsid w:val="74877DC7"/>
    <w:rsid w:val="74BD640F"/>
    <w:rsid w:val="74DB35C2"/>
    <w:rsid w:val="751607C0"/>
    <w:rsid w:val="75890D8F"/>
    <w:rsid w:val="75B043EA"/>
    <w:rsid w:val="761E6A3A"/>
    <w:rsid w:val="765B4AC5"/>
    <w:rsid w:val="76B4114C"/>
    <w:rsid w:val="76D90F68"/>
    <w:rsid w:val="77280C7C"/>
    <w:rsid w:val="77660E93"/>
    <w:rsid w:val="77C1540B"/>
    <w:rsid w:val="783E7320"/>
    <w:rsid w:val="78CB19C0"/>
    <w:rsid w:val="78F35EFE"/>
    <w:rsid w:val="78FF5669"/>
    <w:rsid w:val="79124EDC"/>
    <w:rsid w:val="793275BA"/>
    <w:rsid w:val="79A724F1"/>
    <w:rsid w:val="79C1605A"/>
    <w:rsid w:val="7A4B7878"/>
    <w:rsid w:val="7A6D100D"/>
    <w:rsid w:val="7B4F7695"/>
    <w:rsid w:val="7C5F16F8"/>
    <w:rsid w:val="7C6929D9"/>
    <w:rsid w:val="7C9D3E10"/>
    <w:rsid w:val="7CAF2E48"/>
    <w:rsid w:val="7CB122FF"/>
    <w:rsid w:val="7DBA67DE"/>
    <w:rsid w:val="7DF53ACA"/>
    <w:rsid w:val="7DF7159A"/>
    <w:rsid w:val="7E474901"/>
    <w:rsid w:val="7F0E4C61"/>
    <w:rsid w:val="7F7F4C0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jc w:val="center"/>
      <w:outlineLvl w:val="0"/>
    </w:pPr>
    <w:rPr>
      <w:rFonts w:ascii="楷体_GB2312" w:eastAsia="楷体_GB2312"/>
      <w:szCs w:val="28"/>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rPr>
      <w:sz w:val="24"/>
    </w:rPr>
  </w:style>
  <w:style w:type="paragraph" w:styleId="5">
    <w:name w:val="Body Text"/>
    <w:basedOn w:val="1"/>
    <w:qFormat/>
    <w:uiPriority w:val="0"/>
    <w:rPr>
      <w:rFonts w:ascii="楷体_GB2312" w:hAnsi="Arial" w:eastAsia="楷体_GB2312"/>
      <w:sz w:val="28"/>
      <w:szCs w:val="28"/>
    </w:rPr>
  </w:style>
  <w:style w:type="paragraph" w:styleId="6">
    <w:name w:val="Body Text Indent"/>
    <w:basedOn w:val="1"/>
    <w:next w:val="1"/>
    <w:qFormat/>
    <w:uiPriority w:val="0"/>
    <w:pPr>
      <w:ind w:firstLine="645"/>
    </w:pPr>
    <w:rPr>
      <w:rFonts w:ascii="楷体_GB2312" w:eastAsia="楷体_GB2312"/>
      <w:sz w:val="32"/>
      <w:szCs w:val="32"/>
    </w:rPr>
  </w:style>
  <w:style w:type="paragraph" w:styleId="7">
    <w:name w:val="Block Text"/>
    <w:basedOn w:val="1"/>
    <w:unhideWhenUsed/>
    <w:qFormat/>
    <w:uiPriority w:val="99"/>
    <w:pPr>
      <w:spacing w:before="100" w:beforeAutospacing="1" w:after="100" w:afterAutospacing="1"/>
      <w:ind w:left="256" w:right="6" w:firstLine="624"/>
    </w:pPr>
    <w:rPr>
      <w:rFonts w:ascii="Times New Roman" w:hAnsi="Times New Roman" w:eastAsia="仿宋"/>
      <w:szCs w:val="28"/>
    </w:rPr>
  </w:style>
  <w:style w:type="paragraph" w:styleId="8">
    <w:name w:val="Plain Text"/>
    <w:basedOn w:val="1"/>
    <w:next w:val="4"/>
    <w:qFormat/>
    <w:uiPriority w:val="0"/>
    <w:rPr>
      <w:rFonts w:ascii="宋体" w:hAnsi="Courier New"/>
    </w:rPr>
  </w:style>
  <w:style w:type="paragraph" w:styleId="9">
    <w:name w:val="Body Text Indent 2"/>
    <w:basedOn w:val="1"/>
    <w:qFormat/>
    <w:uiPriority w:val="0"/>
    <w:pPr>
      <w:ind w:left="630" w:firstLine="645"/>
    </w:pPr>
    <w:rPr>
      <w:rFonts w:ascii="Arial" w:hAnsi="Arial" w:eastAsia="仿宋_GB2312" w:cs="Arial"/>
      <w:sz w:val="32"/>
      <w:szCs w:val="32"/>
    </w:rPr>
  </w:style>
  <w:style w:type="paragraph" w:styleId="10">
    <w:name w:val="footer"/>
    <w:basedOn w:val="1"/>
    <w:link w:val="25"/>
    <w:qFormat/>
    <w:uiPriority w:val="0"/>
    <w:pPr>
      <w:tabs>
        <w:tab w:val="center" w:pos="4153"/>
        <w:tab w:val="right" w:pos="8306"/>
      </w:tabs>
      <w:snapToGrid w:val="0"/>
      <w:jc w:val="left"/>
    </w:pPr>
    <w:rPr>
      <w:sz w:val="18"/>
      <w:szCs w:val="18"/>
    </w:rPr>
  </w:style>
  <w:style w:type="paragraph" w:styleId="11">
    <w:name w:val="envelope return"/>
    <w:basedOn w:val="1"/>
    <w:qFormat/>
    <w:uiPriority w:val="99"/>
    <w:pPr>
      <w:snapToGrid w:val="0"/>
    </w:pPr>
    <w:rPr>
      <w:rFonts w:ascii="Arial" w:hAnsi="Arial" w:cs="Arial"/>
    </w:rPr>
  </w:style>
  <w:style w:type="paragraph" w:styleId="12">
    <w:name w:val="header"/>
    <w:basedOn w:val="1"/>
    <w:link w:val="24"/>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qFormat/>
    <w:uiPriority w:val="0"/>
    <w:pPr>
      <w:spacing w:beforeAutospacing="1" w:afterAutospacing="1"/>
      <w:jc w:val="left"/>
    </w:pPr>
    <w:rPr>
      <w:rFonts w:cs="Times New Roman"/>
      <w:kern w:val="0"/>
      <w:sz w:val="24"/>
    </w:rPr>
  </w:style>
  <w:style w:type="paragraph" w:styleId="14">
    <w:name w:val="Body Text First Indent"/>
    <w:basedOn w:val="5"/>
    <w:semiHidden/>
    <w:unhideWhenUsed/>
    <w:qFormat/>
    <w:uiPriority w:val="99"/>
    <w:pPr>
      <w:ind w:firstLine="420" w:firstLineChars="100"/>
    </w:pPr>
  </w:style>
  <w:style w:type="paragraph" w:styleId="15">
    <w:name w:val="Body Text First Indent 2"/>
    <w:basedOn w:val="6"/>
    <w:next w:val="1"/>
    <w:qFormat/>
    <w:uiPriority w:val="0"/>
    <w:pPr>
      <w:spacing w:line="360" w:lineRule="auto"/>
      <w:ind w:firstLine="420" w:firstLineChars="200"/>
    </w:pPr>
    <w:rPr>
      <w:rFonts w:ascii="宋体" w:hAnsi="宋体" w:eastAsia="宋体"/>
      <w:sz w:val="21"/>
      <w:szCs w:val="20"/>
    </w:rPr>
  </w:style>
  <w:style w:type="paragraph" w:customStyle="1" w:styleId="18">
    <w:name w:val="一级条标题"/>
    <w:basedOn w:val="19"/>
    <w:next w:val="20"/>
    <w:unhideWhenUsed/>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19">
    <w:name w:val="章标题"/>
    <w:next w:val="1"/>
    <w:unhideWhenUsed/>
    <w:qFormat/>
    <w:uiPriority w:val="0"/>
    <w:pPr>
      <w:tabs>
        <w:tab w:val="left" w:pos="810"/>
        <w:tab w:val="left" w:pos="1265"/>
      </w:tabs>
      <w:spacing w:before="50" w:after="50"/>
      <w:ind w:left="810" w:hanging="810"/>
      <w:jc w:val="both"/>
      <w:outlineLvl w:val="1"/>
    </w:pPr>
    <w:rPr>
      <w:rFonts w:ascii="黑体" w:hAnsi="Calibri" w:eastAsia="黑体" w:cs="宋体"/>
      <w:kern w:val="2"/>
      <w:sz w:val="21"/>
      <w:szCs w:val="22"/>
      <w:lang w:val="en-US" w:eastAsia="zh-CN" w:bidi="ar-SA"/>
    </w:rPr>
  </w:style>
  <w:style w:type="paragraph" w:customStyle="1" w:styleId="20">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1">
    <w:name w:val="正文文本1"/>
    <w:basedOn w:val="1"/>
    <w:next w:val="22"/>
    <w:qFormat/>
    <w:uiPriority w:val="0"/>
    <w:rPr>
      <w:sz w:val="24"/>
    </w:rPr>
  </w:style>
  <w:style w:type="paragraph" w:customStyle="1" w:styleId="22">
    <w:name w:val="正文缩进1"/>
    <w:basedOn w:val="1"/>
    <w:qFormat/>
    <w:uiPriority w:val="0"/>
    <w:pPr>
      <w:ind w:firstLine="420"/>
      <w:jc w:val="left"/>
    </w:pPr>
    <w:rPr>
      <w:rFonts w:eastAsia="楷体_GB2312"/>
      <w:sz w:val="24"/>
    </w:rPr>
  </w:style>
  <w:style w:type="paragraph" w:customStyle="1" w:styleId="23">
    <w:name w:val="Body Text1"/>
    <w:basedOn w:val="1"/>
    <w:next w:val="1"/>
    <w:qFormat/>
    <w:uiPriority w:val="0"/>
    <w:pPr>
      <w:spacing w:after="120"/>
    </w:pPr>
  </w:style>
  <w:style w:type="character" w:customStyle="1" w:styleId="24">
    <w:name w:val="页眉 Char"/>
    <w:basedOn w:val="17"/>
    <w:link w:val="12"/>
    <w:qFormat/>
    <w:uiPriority w:val="0"/>
    <w:rPr>
      <w:rFonts w:asciiTheme="minorHAnsi" w:hAnsiTheme="minorHAnsi" w:eastAsiaTheme="minorEastAsia" w:cstheme="minorBidi"/>
      <w:kern w:val="2"/>
      <w:sz w:val="18"/>
      <w:szCs w:val="18"/>
    </w:rPr>
  </w:style>
  <w:style w:type="character" w:customStyle="1" w:styleId="25">
    <w:name w:val="页脚 Char"/>
    <w:basedOn w:val="17"/>
    <w:link w:val="10"/>
    <w:qFormat/>
    <w:uiPriority w:val="0"/>
    <w:rPr>
      <w:rFonts w:asciiTheme="minorHAnsi" w:hAnsiTheme="minorHAnsi" w:eastAsiaTheme="minorEastAsia" w:cstheme="minorBidi"/>
      <w:kern w:val="2"/>
      <w:sz w:val="18"/>
      <w:szCs w:val="18"/>
    </w:rPr>
  </w:style>
  <w:style w:type="paragraph" w:styleId="26">
    <w:name w:val="List Paragraph"/>
    <w:basedOn w:val="1"/>
    <w:qFormat/>
    <w:uiPriority w:val="34"/>
    <w:pPr>
      <w:ind w:firstLine="420" w:firstLineChars="200"/>
    </w:pPr>
  </w:style>
  <w:style w:type="paragraph" w:customStyle="1" w:styleId="27">
    <w:name w:val="BodyText"/>
    <w:basedOn w:val="1"/>
    <w:next w:val="28"/>
    <w:qFormat/>
    <w:uiPriority w:val="0"/>
    <w:pPr>
      <w:widowControl/>
      <w:jc w:val="left"/>
      <w:textAlignment w:val="baseline"/>
    </w:pPr>
    <w:rPr>
      <w:rFonts w:ascii="宋体" w:hAnsi="宋体"/>
      <w:kern w:val="0"/>
      <w:lang w:val="zh-CN" w:bidi="zh-CN"/>
    </w:rPr>
  </w:style>
  <w:style w:type="paragraph" w:customStyle="1" w:styleId="28">
    <w:name w:val="PlainText"/>
    <w:basedOn w:val="1"/>
    <w:qFormat/>
    <w:uiPriority w:val="0"/>
    <w:pPr>
      <w:widowControl/>
      <w:jc w:val="left"/>
      <w:textAlignment w:val="baseline"/>
    </w:pPr>
    <w:rPr>
      <w:rFonts w:ascii="宋体" w:hAnsi="Courier New"/>
      <w:szCs w:val="22"/>
    </w:rPr>
  </w:style>
  <w:style w:type="character" w:customStyle="1" w:styleId="29">
    <w:name w:val="NormalCharacter"/>
    <w:qFormat/>
    <w:uiPriority w:val="0"/>
  </w:style>
  <w:style w:type="paragraph" w:customStyle="1" w:styleId="30">
    <w:name w:val="普通正文"/>
    <w:basedOn w:val="1"/>
    <w:qFormat/>
    <w:uiPriority w:val="99"/>
    <w:pPr>
      <w:adjustRightInd w:val="0"/>
      <w:spacing w:before="120" w:after="120" w:line="360" w:lineRule="auto"/>
      <w:ind w:firstLine="480"/>
      <w:jc w:val="left"/>
      <w:textAlignment w:val="baseline"/>
    </w:pPr>
    <w:rPr>
      <w:rFonts w:ascii="Arial" w:hAnsi="Arial"/>
      <w:kern w:val="0"/>
      <w:sz w:val="24"/>
    </w:rPr>
  </w:style>
  <w:style w:type="paragraph" w:customStyle="1" w:styleId="31">
    <w:name w:val="文本块1"/>
    <w:basedOn w:val="1"/>
    <w:qFormat/>
    <w:uiPriority w:val="99"/>
    <w:pPr>
      <w:tabs>
        <w:tab w:val="left" w:pos="9000"/>
      </w:tabs>
      <w:spacing w:after="120"/>
      <w:ind w:left="1440" w:right="1440"/>
    </w:pPr>
  </w:style>
  <w:style w:type="paragraph" w:customStyle="1" w:styleId="32">
    <w:name w:val="正文空2格  1."/>
    <w:basedOn w:val="1"/>
    <w:qFormat/>
    <w:uiPriority w:val="0"/>
    <w:pPr>
      <w:ind w:firstLine="480" w:firstLineChars="200"/>
    </w:pPr>
    <w:rPr>
      <w:rFonts w:cs="宋体"/>
      <w:szCs w:val="20"/>
    </w:rPr>
  </w:style>
  <w:style w:type="paragraph" w:customStyle="1" w:styleId="33">
    <w:name w:val="列出段落3"/>
    <w:basedOn w:val="1"/>
    <w:qFormat/>
    <w:uiPriority w:val="0"/>
    <w:pPr>
      <w:ind w:firstLine="420"/>
    </w:pPr>
    <w:rPr>
      <w:szCs w:val="20"/>
    </w:rPr>
  </w:style>
  <w:style w:type="paragraph" w:customStyle="1" w:styleId="34">
    <w:name w:val="纯文本1"/>
    <w:basedOn w:val="1"/>
    <w:qFormat/>
    <w:uiPriority w:val="0"/>
    <w:rPr>
      <w:rFonts w:ascii="宋体" w:hAnsi="Courier New" w:eastAsia="楷体_GB2312" w:cs="Times New Roman"/>
      <w:sz w:val="28"/>
    </w:rPr>
  </w:style>
  <w:style w:type="paragraph" w:customStyle="1" w:styleId="35">
    <w:name w:val="+正文"/>
    <w:basedOn w:val="1"/>
    <w:qFormat/>
    <w:uiPriority w:val="0"/>
    <w:pPr>
      <w:spacing w:line="360" w:lineRule="auto"/>
      <w:ind w:firstLine="200"/>
    </w:pPr>
    <w:rPr>
      <w:sz w:val="24"/>
    </w:rPr>
  </w:style>
  <w:style w:type="paragraph" w:customStyle="1" w:styleId="36">
    <w:name w:val="_Style 1"/>
    <w:basedOn w:val="1"/>
    <w:qFormat/>
    <w:uiPriority w:val="34"/>
    <w:pPr>
      <w:ind w:firstLine="420" w:firstLineChars="200"/>
    </w:pPr>
  </w:style>
  <w:style w:type="table" w:customStyle="1" w:styleId="37">
    <w:name w:val="Table Normal"/>
    <w:unhideWhenUsed/>
    <w:qFormat/>
    <w:uiPriority w:val="0"/>
    <w:tblPr>
      <w:tblCellMar>
        <w:top w:w="0" w:type="dxa"/>
        <w:left w:w="0" w:type="dxa"/>
        <w:bottom w:w="0" w:type="dxa"/>
        <w:right w:w="0" w:type="dxa"/>
      </w:tblCellMar>
    </w:tblPr>
  </w:style>
  <w:style w:type="paragraph" w:customStyle="1" w:styleId="38">
    <w:name w:val="正文首行缩进 21"/>
    <w:basedOn w:val="39"/>
    <w:next w:val="1"/>
    <w:unhideWhenUsed/>
    <w:qFormat/>
    <w:uiPriority w:val="99"/>
    <w:pPr>
      <w:widowControl/>
      <w:tabs>
        <w:tab w:val="left" w:pos="0"/>
        <w:tab w:val="left" w:pos="993"/>
        <w:tab w:val="left" w:pos="1134"/>
      </w:tabs>
      <w:ind w:firstLine="420"/>
      <w:jc w:val="left"/>
    </w:pPr>
    <w:rPr>
      <w:rFonts w:hAnsi="Courier New" w:cs="宋体"/>
      <w:spacing w:val="-4"/>
      <w:szCs w:val="21"/>
    </w:rPr>
  </w:style>
  <w:style w:type="paragraph" w:customStyle="1" w:styleId="39">
    <w:name w:val="正文文本缩进1"/>
    <w:basedOn w:val="1"/>
    <w:qFormat/>
    <w:uiPriority w:val="99"/>
    <w:pPr>
      <w:spacing w:after="120"/>
      <w:ind w:left="420"/>
    </w:pPr>
    <w:rPr>
      <w:rFonts w:ascii="楷体_GB2312" w:eastAsia="楷体_GB2312"/>
      <w:sz w:val="32"/>
      <w:szCs w:val="32"/>
    </w:rPr>
  </w:style>
  <w:style w:type="paragraph" w:customStyle="1" w:styleId="40">
    <w:name w:val="正文（缩进）"/>
    <w:basedOn w:val="1"/>
    <w:next w:val="41"/>
    <w:qFormat/>
    <w:uiPriority w:val="99"/>
    <w:pPr>
      <w:spacing w:before="156" w:after="156"/>
      <w:ind w:firstLine="480"/>
    </w:pPr>
  </w:style>
  <w:style w:type="paragraph" w:customStyle="1" w:styleId="41">
    <w:name w:val="Char Char Char Char Char Char Char Char Char"/>
    <w:basedOn w:val="1"/>
    <w:next w:val="42"/>
    <w:qFormat/>
    <w:uiPriority w:val="99"/>
    <w:pPr>
      <w:ind w:left="360" w:firstLine="5784"/>
    </w:pPr>
  </w:style>
  <w:style w:type="paragraph" w:customStyle="1" w:styleId="42">
    <w:name w:val="正文文本 21"/>
    <w:basedOn w:val="1"/>
    <w:next w:val="43"/>
    <w:qFormat/>
    <w:uiPriority w:val="99"/>
    <w:pPr>
      <w:widowControl/>
      <w:ind w:left="720" w:firstLine="5680"/>
    </w:pPr>
  </w:style>
  <w:style w:type="paragraph" w:customStyle="1" w:styleId="43">
    <w:name w:val="默认段落字体 Para Char Char Char Char Char Char Char"/>
    <w:basedOn w:val="1"/>
    <w:next w:val="44"/>
    <w:qFormat/>
    <w:uiPriority w:val="99"/>
    <w:pPr>
      <w:ind w:firstLine="200"/>
    </w:pPr>
    <w:rPr>
      <w:rFonts w:cs="Arial"/>
    </w:rPr>
  </w:style>
  <w:style w:type="paragraph" w:customStyle="1" w:styleId="44">
    <w:name w:val="样式 首行缩进:  2 字符"/>
    <w:basedOn w:val="1"/>
    <w:next w:val="45"/>
    <w:qFormat/>
    <w:uiPriority w:val="99"/>
    <w:pPr>
      <w:spacing w:line="360" w:lineRule="auto"/>
      <w:ind w:left="480" w:firstLine="5856"/>
    </w:pPr>
  </w:style>
  <w:style w:type="paragraph" w:customStyle="1" w:styleId="45">
    <w:name w:val="样式 段后: 0.25 行"/>
    <w:basedOn w:val="1"/>
    <w:next w:val="46"/>
    <w:qFormat/>
    <w:uiPriority w:val="99"/>
    <w:pPr>
      <w:widowControl/>
      <w:spacing w:line="300" w:lineRule="auto"/>
      <w:ind w:left="420" w:firstLine="5796"/>
    </w:pPr>
  </w:style>
  <w:style w:type="paragraph" w:customStyle="1" w:styleId="46">
    <w:name w:val="正文 New New New New New New New New New New New New New New"/>
    <w:next w:val="47"/>
    <w:qFormat/>
    <w:uiPriority w:val="99"/>
    <w:pPr>
      <w:widowControl w:val="0"/>
      <w:ind w:firstLine="2048"/>
      <w:jc w:val="both"/>
    </w:pPr>
    <w:rPr>
      <w:rFonts w:hint="default" w:ascii="Calibri" w:hAnsi="Calibri" w:eastAsia="宋体" w:cs="Times New Roman"/>
      <w:lang w:val="en-US" w:eastAsia="zh-CN" w:bidi="ar-SA"/>
    </w:rPr>
  </w:style>
  <w:style w:type="paragraph" w:customStyle="1" w:styleId="47">
    <w:name w:val="目录 91"/>
    <w:basedOn w:val="1"/>
    <w:next w:val="1"/>
    <w:qFormat/>
    <w:uiPriority w:val="0"/>
    <w:pPr>
      <w:ind w:left="1920"/>
      <w:jc w:val="left"/>
    </w:pPr>
    <w:rPr>
      <w:rFonts w:ascii="Times New Roman" w:hAnsi="Times New Roman"/>
      <w:sz w:val="20"/>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65</Pages>
  <Words>30951</Words>
  <Characters>32844</Characters>
  <Lines>207</Lines>
  <Paragraphs>58</Paragraphs>
  <TotalTime>37</TotalTime>
  <ScaleCrop>false</ScaleCrop>
  <LinksUpToDate>false</LinksUpToDate>
  <CharactersWithSpaces>33851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2025-01-23T08:05:00Z</dcterms:created>
  <dc:creator>正式环境陈艳测试账号</dc:creator>
  <cp:lastModifiedBy>WPS_1751247928</cp:lastModifiedBy>
  <cp:lastPrinted>2025-10-28T07:12:46Z</cp:lastPrinted>
  <dcterms:modified xsi:type="dcterms:W3CDTF">2025-10-28T07:29:04Z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39773F380CD94E1D99145B9569C4B2DF_13</vt:lpwstr>
  </property>
  <property fmtid="{D5CDD505-2E9C-101B-9397-08002B2CF9AE}" pid="4" name="KSOTemplateDocerSaveRecord">
    <vt:lpwstr>eyJoZGlkIjoiOWM3ZjgyZWI3YTBmYjAwNGQwNDQzZDUyNDIzMzA0ZWYiLCJ1c2VySWQiOiIxNzE1MzgzNzE0In0=</vt:lpwstr>
  </property>
</Properties>
</file>